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1245"/>
        <w:gridCol w:w="2460"/>
        <w:gridCol w:w="3090"/>
        <w:gridCol w:w="2415"/>
      </w:tblGrid>
      <w:tr w:rsidR="00877742" w:rsidTr="008A54B5">
        <w:tc>
          <w:tcPr>
            <w:tcW w:w="124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42" w:rsidRDefault="00877742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Evaluation level and type</w:t>
            </w:r>
          </w:p>
        </w:tc>
        <w:tc>
          <w:tcPr>
            <w:tcW w:w="246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42" w:rsidRDefault="00877742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Evaluation description and characteristics</w:t>
            </w:r>
          </w:p>
        </w:tc>
        <w:tc>
          <w:tcPr>
            <w:tcW w:w="309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42" w:rsidRDefault="00877742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Examples of evaluation tools and methods</w:t>
            </w:r>
          </w:p>
        </w:tc>
        <w:tc>
          <w:tcPr>
            <w:tcW w:w="241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42" w:rsidRDefault="00877742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Relevance and practicability</w:t>
            </w:r>
          </w:p>
        </w:tc>
      </w:tr>
      <w:tr w:rsidR="00877742" w:rsidTr="008A54B5">
        <w:tc>
          <w:tcPr>
            <w:tcW w:w="124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42" w:rsidRDefault="00877742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2. Learning</w:t>
            </w:r>
          </w:p>
        </w:tc>
        <w:tc>
          <w:tcPr>
            <w:tcW w:w="246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42" w:rsidRDefault="00877742" w:rsidP="008A54B5">
            <w:pPr>
              <w:spacing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Learning evaluation</w:t>
            </w:r>
            <w:r>
              <w:rPr>
                <w:color w:val="38761D"/>
                <w:sz w:val="20"/>
                <w:szCs w:val="20"/>
              </w:rPr>
              <w:t> is the measurement of the </w:t>
            </w:r>
            <w:r>
              <w:rPr>
                <w:b/>
                <w:color w:val="38761D"/>
                <w:sz w:val="20"/>
                <w:szCs w:val="20"/>
              </w:rPr>
              <w:t>increase in knowledge, skills, and competencies</w:t>
            </w:r>
            <w:r>
              <w:rPr>
                <w:color w:val="38761D"/>
                <w:sz w:val="20"/>
                <w:szCs w:val="20"/>
              </w:rPr>
              <w:t> from before to after the learning experience: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Did the trainees learn what was intended to be delivered through the training?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Did the trainees experience what was intended for them to experience?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What is the extent of advancement or change in the trainees after the training, in the direction or area that was intended?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Did the training reach its learning objectives?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Exams, interviews or assessments prior to and immediately after the training.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Observations by peers and instructors</w:t>
            </w:r>
          </w:p>
          <w:p w:rsidR="00877742" w:rsidRDefault="00877742" w:rsidP="008A54B5">
            <w:pPr>
              <w:spacing w:before="280"/>
              <w:ind w:hanging="2"/>
              <w:rPr>
                <w:color w:val="38761D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42" w:rsidRDefault="00877742" w:rsidP="008A54B5">
            <w:pPr>
              <w:spacing w:after="280"/>
              <w:ind w:hanging="2"/>
              <w:rPr>
                <w:color w:val="38761D"/>
                <w:sz w:val="20"/>
                <w:szCs w:val="20"/>
              </w:rPr>
            </w:pPr>
            <w:proofErr w:type="gramStart"/>
            <w:r>
              <w:rPr>
                <w:color w:val="38761D"/>
                <w:sz w:val="20"/>
                <w:szCs w:val="20"/>
              </w:rPr>
              <w:t>Typically</w:t>
            </w:r>
            <w:proofErr w:type="gramEnd"/>
            <w:r>
              <w:rPr>
                <w:color w:val="38761D"/>
                <w:sz w:val="20"/>
                <w:szCs w:val="20"/>
              </w:rPr>
              <w:t xml:space="preserve"> assessments, tests, interviews, exams before and after the training.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Assessments don’t need to be formal evaluations, but can take the form of a simulation, practical exercises, group assignment or presentation, problem solving, etc.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Interview or observation from peers and trainers. 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Methods of assessment need to be closely related to the aims of the learning.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Measurement and analysis </w:t>
            </w:r>
            <w:proofErr w:type="gramStart"/>
            <w:r>
              <w:rPr>
                <w:color w:val="38761D"/>
                <w:sz w:val="20"/>
                <w:szCs w:val="20"/>
              </w:rPr>
              <w:t>is</w:t>
            </w:r>
            <w:proofErr w:type="gramEnd"/>
            <w:r>
              <w:rPr>
                <w:color w:val="38761D"/>
                <w:sz w:val="20"/>
                <w:szCs w:val="20"/>
              </w:rPr>
              <w:t xml:space="preserve"> possible and easy on a group scale.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Reliable, clear scoring and measurements need to be established, </w:t>
            </w:r>
            <w:proofErr w:type="gramStart"/>
            <w:r>
              <w:rPr>
                <w:color w:val="38761D"/>
                <w:sz w:val="20"/>
                <w:szCs w:val="20"/>
              </w:rPr>
              <w:t>so as to</w:t>
            </w:r>
            <w:proofErr w:type="gramEnd"/>
            <w:r>
              <w:rPr>
                <w:color w:val="38761D"/>
                <w:sz w:val="20"/>
                <w:szCs w:val="20"/>
              </w:rPr>
              <w:t xml:space="preserve"> limit the risk of inconsistent assessment.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Hard copy, electronic, online or interview style assessments are all possible.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Strategies for assessment should be relevant to the goals of the training program.</w:t>
            </w:r>
          </w:p>
          <w:p w:rsidR="00877742" w:rsidRDefault="00877742" w:rsidP="008A54B5">
            <w:pPr>
              <w:spacing w:before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A distinct clear scoring process needs to be determined in order to reduce the possibility of inconsistent evaluation reports.</w:t>
            </w:r>
          </w:p>
        </w:tc>
        <w:tc>
          <w:tcPr>
            <w:tcW w:w="241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42" w:rsidRDefault="00877742" w:rsidP="008A54B5">
            <w:pPr>
              <w:spacing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Relatively simple to set up, but more investment and thought required than reaction evaluation.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Highly relevant and clear-cut for certain training such as quantifiable or technical skills.</w:t>
            </w:r>
          </w:p>
          <w:p w:rsidR="00877742" w:rsidRDefault="00877742" w:rsidP="008A54B5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Less easy for more complex learning such as attitudinal development, which is famously difficult to assess.</w:t>
            </w:r>
          </w:p>
          <w:p w:rsidR="00877742" w:rsidRDefault="00877742" w:rsidP="008A54B5">
            <w:pPr>
              <w:spacing w:before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Cost escalates if systems are poorly designed, which increases work required to measure and </w:t>
            </w:r>
            <w:proofErr w:type="spellStart"/>
            <w:r>
              <w:rPr>
                <w:color w:val="38761D"/>
                <w:sz w:val="20"/>
                <w:szCs w:val="20"/>
              </w:rPr>
              <w:t>analyze</w:t>
            </w:r>
            <w:proofErr w:type="spellEnd"/>
            <w:r>
              <w:rPr>
                <w:color w:val="38761D"/>
                <w:sz w:val="20"/>
                <w:szCs w:val="20"/>
              </w:rPr>
              <w:t>.</w:t>
            </w:r>
          </w:p>
        </w:tc>
      </w:tr>
      <w:tr w:rsidR="00877742" w:rsidTr="008A54B5">
        <w:tc>
          <w:tcPr>
            <w:tcW w:w="9210" w:type="dxa"/>
            <w:gridSpan w:val="4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42" w:rsidRDefault="00877742" w:rsidP="008A54B5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i/>
                <w:color w:val="38761D"/>
                <w:sz w:val="20"/>
                <w:szCs w:val="20"/>
              </w:rPr>
              <w:t xml:space="preserve">Source: </w:t>
            </w:r>
            <w:proofErr w:type="spellStart"/>
            <w:r>
              <w:rPr>
                <w:i/>
                <w:color w:val="38761D"/>
                <w:sz w:val="20"/>
                <w:szCs w:val="20"/>
              </w:rPr>
              <w:t>Businessballs</w:t>
            </w:r>
            <w:proofErr w:type="spellEnd"/>
            <w:r>
              <w:rPr>
                <w:i/>
                <w:color w:val="38761D"/>
                <w:sz w:val="20"/>
                <w:szCs w:val="20"/>
              </w:rPr>
              <w:t xml:space="preserve">, Donald L Kirkpatrick's training evaluation model - the four levels of learning evaluation, </w:t>
            </w:r>
            <w:hyperlink r:id="rId4">
              <w:r>
                <w:rPr>
                  <w:i/>
                  <w:color w:val="38761D"/>
                  <w:sz w:val="20"/>
                  <w:szCs w:val="20"/>
                  <w:u w:val="single"/>
                </w:rPr>
                <w:t>https://www.businessballs.com/facilitation-workshops-and-training/kirkpatrick-evaluation-method/</w:t>
              </w:r>
            </w:hyperlink>
          </w:p>
        </w:tc>
      </w:tr>
    </w:tbl>
    <w:p w:rsidR="009E5D85" w:rsidRDefault="009E5D85">
      <w:bookmarkStart w:id="0" w:name="_GoBack"/>
      <w:bookmarkEnd w:id="0"/>
    </w:p>
    <w:sectPr w:rsidR="009E5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45"/>
    <w:rsid w:val="00877742"/>
    <w:rsid w:val="009E3845"/>
    <w:rsid w:val="009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2D42"/>
  <w15:chartTrackingRefBased/>
  <w15:docId w15:val="{D21AC33C-AC3F-43AC-AD73-CC1D4E6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E3845"/>
    <w:pPr>
      <w:spacing w:after="0" w:line="240" w:lineRule="auto"/>
    </w:pPr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8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8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sinessballs.com/facilitation-workshops-and-training/kirkpatrick-evaluation-metho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Marchitelli</dc:creator>
  <cp:keywords/>
  <dc:description/>
  <cp:lastModifiedBy>Rosa Marchitelli</cp:lastModifiedBy>
  <cp:revision>2</cp:revision>
  <dcterms:created xsi:type="dcterms:W3CDTF">2020-02-26T15:47:00Z</dcterms:created>
  <dcterms:modified xsi:type="dcterms:W3CDTF">2020-02-26T15:47:00Z</dcterms:modified>
</cp:coreProperties>
</file>