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4A7D1" w14:textId="300FBA2F" w:rsidR="00DD46E1" w:rsidRDefault="00860F04" w:rsidP="00860F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AI-generated databases. Do the creation/obtaining dichotomy and the substantial investment requirement exclude the sui generis right provided </w:t>
      </w:r>
      <w:r w:rsidR="00B5757A">
        <w:rPr>
          <w:rFonts w:ascii="Times New Roman" w:hAnsi="Times New Roman" w:cs="Times New Roman"/>
          <w:i/>
          <w:sz w:val="24"/>
          <w:szCs w:val="24"/>
        </w:rPr>
        <w:t xml:space="preserve">for </w:t>
      </w:r>
      <w:r>
        <w:rPr>
          <w:rFonts w:ascii="Times New Roman" w:hAnsi="Times New Roman" w:cs="Times New Roman"/>
          <w:i/>
          <w:sz w:val="24"/>
          <w:szCs w:val="24"/>
        </w:rPr>
        <w:t>under the EU Database Directive?</w:t>
      </w:r>
      <w:r w:rsidR="00DB2E81">
        <w:rPr>
          <w:rFonts w:ascii="Times New Roman" w:hAnsi="Times New Roman" w:cs="Times New Roman"/>
          <w:i/>
          <w:sz w:val="24"/>
          <w:szCs w:val="24"/>
        </w:rPr>
        <w:t xml:space="preserve"> Reflections and proposals</w:t>
      </w:r>
      <w:r w:rsidR="0001054E">
        <w:rPr>
          <w:rStyle w:val="FootnoteReference"/>
          <w:rFonts w:ascii="Times New Roman" w:hAnsi="Times New Roman" w:cs="Times New Roman"/>
          <w:i/>
          <w:sz w:val="24"/>
          <w:szCs w:val="24"/>
        </w:rPr>
        <w:footnoteReference w:customMarkFollows="1" w:id="1"/>
        <w:t>*</w:t>
      </w:r>
    </w:p>
    <w:p w14:paraId="400AF293" w14:textId="77777777" w:rsidR="00A469D1" w:rsidRDefault="00A469D1" w:rsidP="00860F04">
      <w:pPr>
        <w:spacing w:after="0" w:line="240" w:lineRule="auto"/>
        <w:jc w:val="both"/>
        <w:rPr>
          <w:rFonts w:ascii="Times New Roman" w:hAnsi="Times New Roman" w:cs="Times New Roman"/>
          <w:i/>
          <w:sz w:val="24"/>
          <w:szCs w:val="24"/>
        </w:rPr>
      </w:pPr>
    </w:p>
    <w:p w14:paraId="7F08CA6A" w14:textId="5C655725" w:rsidR="00A469D1" w:rsidRPr="00A469D1" w:rsidRDefault="00A469D1" w:rsidP="00860F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w:t>
      </w:r>
      <w:proofErr w:type="spellStart"/>
      <w:r>
        <w:rPr>
          <w:rFonts w:ascii="Times New Roman" w:hAnsi="Times New Roman" w:cs="Times New Roman"/>
          <w:sz w:val="24"/>
          <w:szCs w:val="24"/>
        </w:rPr>
        <w:t>Burdese</w:t>
      </w:r>
      <w:proofErr w:type="spellEnd"/>
    </w:p>
    <w:p w14:paraId="0906C456" w14:textId="77777777" w:rsidR="00860F04" w:rsidRDefault="00860F04" w:rsidP="00860F04">
      <w:pPr>
        <w:spacing w:after="0" w:line="240" w:lineRule="auto"/>
        <w:jc w:val="both"/>
        <w:rPr>
          <w:rFonts w:ascii="Times New Roman" w:hAnsi="Times New Roman" w:cs="Times New Roman"/>
          <w:b/>
          <w:sz w:val="24"/>
          <w:szCs w:val="24"/>
        </w:rPr>
      </w:pPr>
    </w:p>
    <w:p w14:paraId="63A6CEB0" w14:textId="77777777" w:rsidR="00860F04" w:rsidRDefault="00860F04" w:rsidP="00860F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021FEFC1" w14:textId="270EFB90" w:rsidR="00920DA6" w:rsidRDefault="005269A5" w:rsidP="00860F04">
      <w:pPr>
        <w:spacing w:after="0" w:line="240" w:lineRule="auto"/>
        <w:jc w:val="both"/>
        <w:rPr>
          <w:rFonts w:ascii="Times New Roman" w:hAnsi="Times New Roman" w:cs="Times New Roman"/>
          <w:i/>
          <w:sz w:val="24"/>
          <w:szCs w:val="24"/>
        </w:rPr>
      </w:pPr>
      <w:r w:rsidRPr="00920DA6">
        <w:rPr>
          <w:rFonts w:ascii="Times New Roman" w:hAnsi="Times New Roman" w:cs="Times New Roman"/>
          <w:i/>
          <w:sz w:val="24"/>
          <w:szCs w:val="24"/>
        </w:rPr>
        <w:t xml:space="preserve">The starting point of this analysis </w:t>
      </w:r>
      <w:r w:rsidR="00B5757A">
        <w:rPr>
          <w:rFonts w:ascii="Times New Roman" w:hAnsi="Times New Roman" w:cs="Times New Roman"/>
          <w:i/>
          <w:sz w:val="24"/>
          <w:szCs w:val="24"/>
        </w:rPr>
        <w:t>is</w:t>
      </w:r>
      <w:r w:rsidRPr="00920DA6">
        <w:rPr>
          <w:rFonts w:ascii="Times New Roman" w:hAnsi="Times New Roman" w:cs="Times New Roman"/>
          <w:i/>
          <w:sz w:val="24"/>
          <w:szCs w:val="24"/>
        </w:rPr>
        <w:t xml:space="preserve"> the position of the European Commission, which, in its 2018 evaluation of the Directive, clearly stated that the sui generis right does not apply broadly to the data economy, including Artificial Intelligence (AI)</w:t>
      </w:r>
      <w:r w:rsidR="00920DA6">
        <w:rPr>
          <w:rFonts w:ascii="Times New Roman" w:hAnsi="Times New Roman" w:cs="Times New Roman"/>
          <w:i/>
          <w:sz w:val="24"/>
          <w:szCs w:val="24"/>
        </w:rPr>
        <w:t xml:space="preserve">. </w:t>
      </w:r>
      <w:r w:rsidR="00B5757A">
        <w:rPr>
          <w:rFonts w:ascii="Times New Roman" w:hAnsi="Times New Roman" w:cs="Times New Roman"/>
          <w:i/>
          <w:sz w:val="24"/>
          <w:szCs w:val="24"/>
        </w:rPr>
        <w:t>This</w:t>
      </w:r>
      <w:r w:rsidR="00920DA6">
        <w:rPr>
          <w:rFonts w:ascii="Times New Roman" w:hAnsi="Times New Roman" w:cs="Times New Roman"/>
          <w:i/>
          <w:sz w:val="24"/>
          <w:szCs w:val="24"/>
        </w:rPr>
        <w:t xml:space="preserve"> position was justified </w:t>
      </w:r>
      <w:r w:rsidR="00B5757A">
        <w:rPr>
          <w:rFonts w:ascii="Times New Roman" w:hAnsi="Times New Roman" w:cs="Times New Roman"/>
          <w:i/>
          <w:sz w:val="24"/>
          <w:szCs w:val="24"/>
        </w:rPr>
        <w:t>by</w:t>
      </w:r>
      <w:r w:rsidR="00920DA6">
        <w:rPr>
          <w:rFonts w:ascii="Times New Roman" w:hAnsi="Times New Roman" w:cs="Times New Roman"/>
          <w:i/>
          <w:sz w:val="24"/>
          <w:szCs w:val="24"/>
        </w:rPr>
        <w:t xml:space="preserve"> the spin-off theory and the lack of substantiality of the investment </w:t>
      </w:r>
      <w:r w:rsidR="00B5757A">
        <w:rPr>
          <w:rFonts w:ascii="Times New Roman" w:hAnsi="Times New Roman" w:cs="Times New Roman"/>
          <w:i/>
          <w:sz w:val="24"/>
          <w:szCs w:val="24"/>
        </w:rPr>
        <w:t xml:space="preserve">involved </w:t>
      </w:r>
      <w:r w:rsidR="00920DA6">
        <w:rPr>
          <w:rFonts w:ascii="Times New Roman" w:hAnsi="Times New Roman" w:cs="Times New Roman"/>
          <w:i/>
          <w:sz w:val="24"/>
          <w:szCs w:val="24"/>
        </w:rPr>
        <w:t xml:space="preserve">in </w:t>
      </w:r>
      <w:r w:rsidR="00D56D26">
        <w:rPr>
          <w:rFonts w:ascii="Times New Roman" w:hAnsi="Times New Roman" w:cs="Times New Roman"/>
          <w:i/>
          <w:sz w:val="24"/>
          <w:szCs w:val="24"/>
        </w:rPr>
        <w:t xml:space="preserve">creating </w:t>
      </w:r>
      <w:r w:rsidR="00920DA6" w:rsidRPr="00B83640">
        <w:rPr>
          <w:rFonts w:ascii="Times New Roman" w:hAnsi="Times New Roman" w:cs="Times New Roman"/>
          <w:i/>
          <w:sz w:val="24"/>
          <w:szCs w:val="24"/>
        </w:rPr>
        <w:t>the database</w:t>
      </w:r>
      <w:r w:rsidR="00D56D26" w:rsidRPr="00B83640">
        <w:rPr>
          <w:rFonts w:ascii="Times New Roman" w:hAnsi="Times New Roman" w:cs="Times New Roman"/>
          <w:i/>
          <w:sz w:val="24"/>
          <w:szCs w:val="24"/>
        </w:rPr>
        <w:t>s concerned</w:t>
      </w:r>
      <w:r w:rsidR="00920DA6">
        <w:rPr>
          <w:rFonts w:ascii="Times New Roman" w:hAnsi="Times New Roman" w:cs="Times New Roman"/>
          <w:i/>
          <w:sz w:val="24"/>
          <w:szCs w:val="24"/>
        </w:rPr>
        <w:t>.</w:t>
      </w:r>
    </w:p>
    <w:p w14:paraId="149043B9" w14:textId="76444CDD" w:rsidR="00A469D1" w:rsidRDefault="00920DA6" w:rsidP="00860F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According to Article 7 of the Database Directive, in order to benefit from sui generis right protection, the maker of a database </w:t>
      </w:r>
      <w:proofErr w:type="gramStart"/>
      <w:r>
        <w:rPr>
          <w:rFonts w:ascii="Times New Roman" w:hAnsi="Times New Roman" w:cs="Times New Roman"/>
          <w:i/>
          <w:sz w:val="24"/>
          <w:szCs w:val="24"/>
        </w:rPr>
        <w:t>has to</w:t>
      </w:r>
      <w:proofErr w:type="gramEnd"/>
      <w:r>
        <w:rPr>
          <w:rFonts w:ascii="Times New Roman" w:hAnsi="Times New Roman" w:cs="Times New Roman"/>
          <w:i/>
          <w:sz w:val="24"/>
          <w:szCs w:val="24"/>
        </w:rPr>
        <w:t xml:space="preserve"> </w:t>
      </w:r>
      <w:r w:rsidR="00D56D26">
        <w:rPr>
          <w:rFonts w:ascii="Times New Roman" w:hAnsi="Times New Roman" w:cs="Times New Roman"/>
          <w:i/>
          <w:sz w:val="24"/>
          <w:szCs w:val="24"/>
        </w:rPr>
        <w:t xml:space="preserve">make </w:t>
      </w:r>
      <w:r>
        <w:rPr>
          <w:rFonts w:ascii="Times New Roman" w:hAnsi="Times New Roman" w:cs="Times New Roman"/>
          <w:i/>
          <w:sz w:val="24"/>
          <w:szCs w:val="24"/>
        </w:rPr>
        <w:t xml:space="preserve">a qualitatively or quantitatively substantial investment in either obtaining, verifying or presenting the contents of the database. While the CJEU and domestic courts agreed that the threshold for the substantiality of the investment </w:t>
      </w:r>
      <w:r w:rsidR="00D56D26">
        <w:rPr>
          <w:rFonts w:ascii="Times New Roman" w:hAnsi="Times New Roman" w:cs="Times New Roman"/>
          <w:i/>
          <w:sz w:val="24"/>
          <w:szCs w:val="24"/>
        </w:rPr>
        <w:t xml:space="preserve">should </w:t>
      </w:r>
      <w:r w:rsidR="00A469D1">
        <w:rPr>
          <w:rFonts w:ascii="Times New Roman" w:hAnsi="Times New Roman" w:cs="Times New Roman"/>
          <w:i/>
          <w:sz w:val="24"/>
          <w:szCs w:val="24"/>
        </w:rPr>
        <w:t>be low, major issues arose</w:t>
      </w:r>
      <w:r>
        <w:rPr>
          <w:rFonts w:ascii="Times New Roman" w:hAnsi="Times New Roman" w:cs="Times New Roman"/>
          <w:i/>
          <w:sz w:val="24"/>
          <w:szCs w:val="24"/>
        </w:rPr>
        <w:t xml:space="preserve"> in connection with the aim of this investment. Indeed, due to </w:t>
      </w:r>
      <w:r w:rsidR="00B83640">
        <w:rPr>
          <w:rFonts w:ascii="Times New Roman" w:hAnsi="Times New Roman" w:cs="Times New Roman"/>
          <w:i/>
          <w:sz w:val="24"/>
          <w:szCs w:val="24"/>
        </w:rPr>
        <w:t xml:space="preserve">judgments handed down by </w:t>
      </w:r>
      <w:r>
        <w:rPr>
          <w:rFonts w:ascii="Times New Roman" w:hAnsi="Times New Roman" w:cs="Times New Roman"/>
          <w:i/>
          <w:sz w:val="24"/>
          <w:szCs w:val="24"/>
        </w:rPr>
        <w:t xml:space="preserve">the CJEU </w:t>
      </w:r>
      <w:r w:rsidR="00B83640">
        <w:rPr>
          <w:rFonts w:ascii="Times New Roman" w:hAnsi="Times New Roman" w:cs="Times New Roman"/>
          <w:i/>
          <w:sz w:val="24"/>
          <w:szCs w:val="24"/>
        </w:rPr>
        <w:t>in 2004</w:t>
      </w:r>
      <w:r>
        <w:rPr>
          <w:rFonts w:ascii="Times New Roman" w:hAnsi="Times New Roman" w:cs="Times New Roman"/>
          <w:i/>
          <w:sz w:val="24"/>
          <w:szCs w:val="24"/>
        </w:rPr>
        <w:t xml:space="preserve">, investment </w:t>
      </w:r>
      <w:r w:rsidR="00B230E6">
        <w:rPr>
          <w:rFonts w:ascii="Times New Roman" w:hAnsi="Times New Roman" w:cs="Times New Roman"/>
          <w:i/>
          <w:sz w:val="24"/>
          <w:szCs w:val="24"/>
        </w:rPr>
        <w:t xml:space="preserve">in </w:t>
      </w:r>
      <w:r w:rsidR="00D56D26">
        <w:rPr>
          <w:rFonts w:ascii="Times New Roman" w:hAnsi="Times New Roman" w:cs="Times New Roman"/>
          <w:i/>
          <w:sz w:val="24"/>
          <w:szCs w:val="24"/>
        </w:rPr>
        <w:t xml:space="preserve">creating </w:t>
      </w:r>
      <w:r w:rsidR="00B230E6">
        <w:rPr>
          <w:rFonts w:ascii="Times New Roman" w:hAnsi="Times New Roman" w:cs="Times New Roman"/>
          <w:i/>
          <w:sz w:val="24"/>
          <w:szCs w:val="24"/>
        </w:rPr>
        <w:t>the content of a database cannot be interpreted as “obtaining” such materials and, therefore, is not relevant.</w:t>
      </w:r>
      <w:r w:rsidR="00A469D1">
        <w:rPr>
          <w:rFonts w:ascii="Times New Roman" w:hAnsi="Times New Roman" w:cs="Times New Roman"/>
          <w:i/>
          <w:sz w:val="24"/>
          <w:szCs w:val="24"/>
        </w:rPr>
        <w:t xml:space="preserve"> </w:t>
      </w:r>
      <w:r w:rsidR="00D56D26">
        <w:rPr>
          <w:rFonts w:ascii="Times New Roman" w:hAnsi="Times New Roman" w:cs="Times New Roman"/>
          <w:i/>
          <w:sz w:val="24"/>
          <w:szCs w:val="24"/>
        </w:rPr>
        <w:t>This</w:t>
      </w:r>
      <w:r w:rsidR="00A469D1">
        <w:rPr>
          <w:rFonts w:ascii="Times New Roman" w:hAnsi="Times New Roman" w:cs="Times New Roman"/>
          <w:i/>
          <w:sz w:val="24"/>
          <w:szCs w:val="24"/>
        </w:rPr>
        <w:t xml:space="preserve"> interpretation created the so-called creation/obtaining dichotomy. However, while </w:t>
      </w:r>
      <w:r w:rsidR="00D56D26">
        <w:rPr>
          <w:rFonts w:ascii="Times New Roman" w:hAnsi="Times New Roman" w:cs="Times New Roman"/>
          <w:i/>
          <w:sz w:val="24"/>
          <w:szCs w:val="24"/>
        </w:rPr>
        <w:t xml:space="preserve">these judgments </w:t>
      </w:r>
      <w:r w:rsidR="00A469D1">
        <w:rPr>
          <w:rFonts w:ascii="Times New Roman" w:hAnsi="Times New Roman" w:cs="Times New Roman"/>
          <w:i/>
          <w:sz w:val="24"/>
          <w:szCs w:val="24"/>
        </w:rPr>
        <w:t>significantly reduc</w:t>
      </w:r>
      <w:r w:rsidR="00D56D26">
        <w:rPr>
          <w:rFonts w:ascii="Times New Roman" w:hAnsi="Times New Roman" w:cs="Times New Roman"/>
          <w:i/>
          <w:sz w:val="24"/>
          <w:szCs w:val="24"/>
        </w:rPr>
        <w:t>ed</w:t>
      </w:r>
      <w:r w:rsidR="00A469D1">
        <w:rPr>
          <w:rFonts w:ascii="Times New Roman" w:hAnsi="Times New Roman" w:cs="Times New Roman"/>
          <w:i/>
          <w:sz w:val="24"/>
          <w:szCs w:val="24"/>
        </w:rPr>
        <w:t xml:space="preserve"> the number of protectable database</w:t>
      </w:r>
      <w:r w:rsidR="00D56D26">
        <w:rPr>
          <w:rFonts w:ascii="Times New Roman" w:hAnsi="Times New Roman" w:cs="Times New Roman"/>
          <w:i/>
          <w:sz w:val="24"/>
          <w:szCs w:val="24"/>
        </w:rPr>
        <w:t>s</w:t>
      </w:r>
      <w:r w:rsidR="00A469D1">
        <w:rPr>
          <w:rFonts w:ascii="Times New Roman" w:hAnsi="Times New Roman" w:cs="Times New Roman"/>
          <w:i/>
          <w:sz w:val="24"/>
          <w:szCs w:val="24"/>
        </w:rPr>
        <w:t>,</w:t>
      </w:r>
      <w:r w:rsidR="00D56D26">
        <w:rPr>
          <w:rFonts w:ascii="Times New Roman" w:hAnsi="Times New Roman" w:cs="Times New Roman"/>
          <w:i/>
          <w:sz w:val="24"/>
          <w:szCs w:val="24"/>
        </w:rPr>
        <w:t xml:space="preserve"> </w:t>
      </w:r>
      <w:r w:rsidR="00A469D1">
        <w:rPr>
          <w:rFonts w:ascii="Times New Roman" w:hAnsi="Times New Roman" w:cs="Times New Roman"/>
          <w:i/>
          <w:sz w:val="24"/>
          <w:szCs w:val="24"/>
        </w:rPr>
        <w:t>the CJEU clearly rejected the spin-off theory.</w:t>
      </w:r>
    </w:p>
    <w:p w14:paraId="6A2C7C5E" w14:textId="32AEA0CB" w:rsidR="00FA08DA" w:rsidRDefault="00A469D1" w:rsidP="00860F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Several years later, </w:t>
      </w:r>
      <w:r w:rsidR="00A55B22">
        <w:rPr>
          <w:rFonts w:ascii="Times New Roman" w:hAnsi="Times New Roman" w:cs="Times New Roman"/>
          <w:i/>
          <w:sz w:val="24"/>
          <w:szCs w:val="24"/>
        </w:rPr>
        <w:t xml:space="preserve">the CJEU’s judgment </w:t>
      </w:r>
      <w:r>
        <w:rPr>
          <w:rFonts w:ascii="Times New Roman" w:hAnsi="Times New Roman" w:cs="Times New Roman"/>
          <w:i/>
          <w:sz w:val="24"/>
          <w:szCs w:val="24"/>
        </w:rPr>
        <w:t>in the Ryan</w:t>
      </w:r>
      <w:r w:rsidR="00301A53">
        <w:rPr>
          <w:rFonts w:ascii="Times New Roman" w:hAnsi="Times New Roman" w:cs="Times New Roman"/>
          <w:i/>
          <w:sz w:val="24"/>
          <w:szCs w:val="24"/>
        </w:rPr>
        <w:t>a</w:t>
      </w:r>
      <w:r>
        <w:rPr>
          <w:rFonts w:ascii="Times New Roman" w:hAnsi="Times New Roman" w:cs="Times New Roman"/>
          <w:i/>
          <w:sz w:val="24"/>
          <w:szCs w:val="24"/>
        </w:rPr>
        <w:t xml:space="preserve">ir case made the framework even more complex, </w:t>
      </w:r>
      <w:r w:rsidR="00B83640">
        <w:rPr>
          <w:rFonts w:ascii="Times New Roman" w:hAnsi="Times New Roman" w:cs="Times New Roman"/>
          <w:i/>
          <w:sz w:val="24"/>
          <w:szCs w:val="24"/>
        </w:rPr>
        <w:t xml:space="preserve">the court </w:t>
      </w:r>
      <w:r w:rsidR="00D56D26">
        <w:rPr>
          <w:rFonts w:ascii="Times New Roman" w:hAnsi="Times New Roman" w:cs="Times New Roman"/>
          <w:i/>
          <w:sz w:val="24"/>
          <w:szCs w:val="24"/>
        </w:rPr>
        <w:t>ruling</w:t>
      </w:r>
      <w:r>
        <w:rPr>
          <w:rFonts w:ascii="Times New Roman" w:hAnsi="Times New Roman" w:cs="Times New Roman"/>
          <w:i/>
          <w:sz w:val="24"/>
          <w:szCs w:val="24"/>
        </w:rPr>
        <w:t xml:space="preserve"> that </w:t>
      </w:r>
      <w:r w:rsidR="00A35982">
        <w:rPr>
          <w:rFonts w:ascii="Times New Roman" w:hAnsi="Times New Roman" w:cs="Times New Roman"/>
          <w:i/>
          <w:sz w:val="24"/>
          <w:szCs w:val="24"/>
        </w:rPr>
        <w:t>the legitimate user of a database not protected under Article 7 of the Directive cannot benefit from the rights granted under Articles 8 and 15. This decision gave rise to a true paradox, because an unprotected database can benefit from stronger protection</w:t>
      </w:r>
      <w:r w:rsidR="00D56D26">
        <w:rPr>
          <w:rFonts w:ascii="Times New Roman" w:hAnsi="Times New Roman" w:cs="Times New Roman"/>
          <w:i/>
          <w:sz w:val="24"/>
          <w:szCs w:val="24"/>
        </w:rPr>
        <w:t xml:space="preserve"> by contractual arrangement</w:t>
      </w:r>
      <w:r w:rsidR="00A35982">
        <w:rPr>
          <w:rFonts w:ascii="Times New Roman" w:hAnsi="Times New Roman" w:cs="Times New Roman"/>
          <w:i/>
          <w:sz w:val="24"/>
          <w:szCs w:val="24"/>
        </w:rPr>
        <w:t>.</w:t>
      </w:r>
    </w:p>
    <w:p w14:paraId="7F792984" w14:textId="1353C0D3" w:rsidR="00A35982" w:rsidRDefault="00D56D26" w:rsidP="00860F0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Looking beyond the </w:t>
      </w:r>
      <w:r w:rsidR="00A35982">
        <w:rPr>
          <w:rFonts w:ascii="Times New Roman" w:hAnsi="Times New Roman" w:cs="Times New Roman"/>
          <w:i/>
          <w:sz w:val="24"/>
          <w:szCs w:val="24"/>
        </w:rPr>
        <w:t>legal framework, this paper challenges the view of the European Commission</w:t>
      </w:r>
      <w:r w:rsidR="00CA73B0">
        <w:rPr>
          <w:rFonts w:ascii="Times New Roman" w:hAnsi="Times New Roman" w:cs="Times New Roman"/>
          <w:i/>
          <w:sz w:val="24"/>
          <w:szCs w:val="24"/>
        </w:rPr>
        <w:t xml:space="preserve"> and asserts </w:t>
      </w:r>
      <w:r w:rsidR="00A35982">
        <w:rPr>
          <w:rFonts w:ascii="Times New Roman" w:hAnsi="Times New Roman" w:cs="Times New Roman"/>
          <w:i/>
          <w:sz w:val="24"/>
          <w:szCs w:val="24"/>
        </w:rPr>
        <w:t xml:space="preserve">that, as a matter of principle, AI-generated databases can be protected </w:t>
      </w:r>
      <w:r>
        <w:rPr>
          <w:rFonts w:ascii="Times New Roman" w:hAnsi="Times New Roman" w:cs="Times New Roman"/>
          <w:i/>
          <w:sz w:val="24"/>
          <w:szCs w:val="24"/>
        </w:rPr>
        <w:t>under</w:t>
      </w:r>
      <w:r w:rsidR="00A35982">
        <w:rPr>
          <w:rFonts w:ascii="Times New Roman" w:hAnsi="Times New Roman" w:cs="Times New Roman"/>
          <w:i/>
          <w:sz w:val="24"/>
          <w:szCs w:val="24"/>
        </w:rPr>
        <w:t xml:space="preserve"> the sui generis right. Furthermore, </w:t>
      </w:r>
      <w:r w:rsidR="00CA73B0">
        <w:rPr>
          <w:rFonts w:ascii="Times New Roman" w:hAnsi="Times New Roman" w:cs="Times New Roman"/>
          <w:i/>
          <w:sz w:val="24"/>
          <w:szCs w:val="24"/>
        </w:rPr>
        <w:t xml:space="preserve">the fact that </w:t>
      </w:r>
      <w:r w:rsidR="00A35982">
        <w:rPr>
          <w:rFonts w:ascii="Times New Roman" w:hAnsi="Times New Roman" w:cs="Times New Roman"/>
          <w:i/>
          <w:sz w:val="24"/>
          <w:szCs w:val="24"/>
        </w:rPr>
        <w:t>this kind of database</w:t>
      </w:r>
      <w:r w:rsidR="00CA73B0">
        <w:rPr>
          <w:rFonts w:ascii="Times New Roman" w:hAnsi="Times New Roman" w:cs="Times New Roman"/>
          <w:i/>
          <w:sz w:val="24"/>
          <w:szCs w:val="24"/>
        </w:rPr>
        <w:t xml:space="preserve"> is</w:t>
      </w:r>
      <w:r w:rsidR="00A35982">
        <w:rPr>
          <w:rFonts w:ascii="Times New Roman" w:hAnsi="Times New Roman" w:cs="Times New Roman"/>
          <w:i/>
          <w:sz w:val="24"/>
          <w:szCs w:val="24"/>
        </w:rPr>
        <w:t xml:space="preserve"> usually generated </w:t>
      </w:r>
      <w:r w:rsidR="00A55B22">
        <w:rPr>
          <w:rFonts w:ascii="Times New Roman" w:hAnsi="Times New Roman" w:cs="Times New Roman"/>
          <w:i/>
          <w:sz w:val="24"/>
          <w:szCs w:val="24"/>
        </w:rPr>
        <w:t>by</w:t>
      </w:r>
      <w:r w:rsidR="00A35982">
        <w:rPr>
          <w:rFonts w:ascii="Times New Roman" w:hAnsi="Times New Roman" w:cs="Times New Roman"/>
          <w:i/>
          <w:sz w:val="24"/>
          <w:szCs w:val="24"/>
        </w:rPr>
        <w:t xml:space="preserve"> data</w:t>
      </w:r>
      <w:r w:rsidR="00A55B22">
        <w:rPr>
          <w:rFonts w:ascii="Times New Roman" w:hAnsi="Times New Roman" w:cs="Times New Roman"/>
          <w:i/>
          <w:sz w:val="24"/>
          <w:szCs w:val="24"/>
        </w:rPr>
        <w:t>-</w:t>
      </w:r>
      <w:r w:rsidR="00A35982">
        <w:rPr>
          <w:rFonts w:ascii="Times New Roman" w:hAnsi="Times New Roman" w:cs="Times New Roman"/>
          <w:i/>
          <w:sz w:val="24"/>
          <w:szCs w:val="24"/>
        </w:rPr>
        <w:t>recording or data</w:t>
      </w:r>
      <w:r w:rsidR="00A55B22">
        <w:rPr>
          <w:rFonts w:ascii="Times New Roman" w:hAnsi="Times New Roman" w:cs="Times New Roman"/>
          <w:i/>
          <w:sz w:val="24"/>
          <w:szCs w:val="24"/>
        </w:rPr>
        <w:t>-</w:t>
      </w:r>
      <w:r w:rsidR="00A35982">
        <w:rPr>
          <w:rFonts w:ascii="Times New Roman" w:hAnsi="Times New Roman" w:cs="Times New Roman"/>
          <w:i/>
          <w:sz w:val="24"/>
          <w:szCs w:val="24"/>
        </w:rPr>
        <w:t>mining processes</w:t>
      </w:r>
      <w:r w:rsidR="006C15A0">
        <w:rPr>
          <w:rFonts w:ascii="Times New Roman" w:hAnsi="Times New Roman" w:cs="Times New Roman"/>
          <w:i/>
          <w:sz w:val="24"/>
          <w:szCs w:val="24"/>
        </w:rPr>
        <w:t xml:space="preserve">, </w:t>
      </w:r>
      <w:r w:rsidR="00A55B22">
        <w:rPr>
          <w:rFonts w:ascii="Times New Roman" w:hAnsi="Times New Roman" w:cs="Times New Roman"/>
          <w:i/>
          <w:sz w:val="24"/>
          <w:szCs w:val="24"/>
        </w:rPr>
        <w:t xml:space="preserve">which involves </w:t>
      </w:r>
      <w:r w:rsidR="00301A53">
        <w:rPr>
          <w:rFonts w:ascii="Times New Roman" w:hAnsi="Times New Roman" w:cs="Times New Roman"/>
          <w:i/>
          <w:sz w:val="24"/>
          <w:szCs w:val="24"/>
        </w:rPr>
        <w:t>obtaining rather than creating,</w:t>
      </w:r>
      <w:r w:rsidR="00A35982">
        <w:rPr>
          <w:rFonts w:ascii="Times New Roman" w:hAnsi="Times New Roman" w:cs="Times New Roman"/>
          <w:i/>
          <w:sz w:val="24"/>
          <w:szCs w:val="24"/>
        </w:rPr>
        <w:t xml:space="preserve"> </w:t>
      </w:r>
      <w:r w:rsidR="00A55B22">
        <w:rPr>
          <w:rFonts w:ascii="Times New Roman" w:hAnsi="Times New Roman" w:cs="Times New Roman"/>
          <w:i/>
          <w:sz w:val="24"/>
          <w:szCs w:val="24"/>
        </w:rPr>
        <w:t xml:space="preserve">means </w:t>
      </w:r>
      <w:r w:rsidR="00A35982">
        <w:rPr>
          <w:rFonts w:ascii="Times New Roman" w:hAnsi="Times New Roman" w:cs="Times New Roman"/>
          <w:i/>
          <w:sz w:val="24"/>
          <w:szCs w:val="24"/>
        </w:rPr>
        <w:t xml:space="preserve">that the creation/obtaining dichotomy is no longer tenable and, </w:t>
      </w:r>
      <w:r w:rsidR="00A55B22">
        <w:rPr>
          <w:rFonts w:ascii="Times New Roman" w:hAnsi="Times New Roman" w:cs="Times New Roman"/>
          <w:i/>
          <w:sz w:val="24"/>
          <w:szCs w:val="24"/>
        </w:rPr>
        <w:t>therefore</w:t>
      </w:r>
      <w:r w:rsidR="00A35982">
        <w:rPr>
          <w:rFonts w:ascii="Times New Roman" w:hAnsi="Times New Roman" w:cs="Times New Roman"/>
          <w:i/>
          <w:sz w:val="24"/>
          <w:szCs w:val="24"/>
        </w:rPr>
        <w:t>, should be abandoned. Moreover, rejecting this dichotomy would also mitigate the negative outcomes of the Ryan</w:t>
      </w:r>
      <w:r w:rsidR="00301A53">
        <w:rPr>
          <w:rFonts w:ascii="Times New Roman" w:hAnsi="Times New Roman" w:cs="Times New Roman"/>
          <w:i/>
          <w:sz w:val="24"/>
          <w:szCs w:val="24"/>
        </w:rPr>
        <w:t>a</w:t>
      </w:r>
      <w:r w:rsidR="00A35982">
        <w:rPr>
          <w:rFonts w:ascii="Times New Roman" w:hAnsi="Times New Roman" w:cs="Times New Roman"/>
          <w:i/>
          <w:sz w:val="24"/>
          <w:szCs w:val="24"/>
        </w:rPr>
        <w:t>ir decision</w:t>
      </w:r>
      <w:r w:rsidR="00301A53">
        <w:rPr>
          <w:rFonts w:ascii="Times New Roman" w:hAnsi="Times New Roman" w:cs="Times New Roman"/>
          <w:i/>
          <w:sz w:val="24"/>
          <w:szCs w:val="24"/>
        </w:rPr>
        <w:t>.</w:t>
      </w:r>
    </w:p>
    <w:p w14:paraId="18CBC998" w14:textId="6CBBC834" w:rsidR="00301A53" w:rsidRPr="00920DA6" w:rsidRDefault="00301A53" w:rsidP="00860F04">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However, it seems clear that granting easier protection </w:t>
      </w:r>
      <w:r w:rsidR="00A55B22">
        <w:rPr>
          <w:rFonts w:ascii="Times New Roman" w:hAnsi="Times New Roman" w:cs="Times New Roman"/>
          <w:i/>
          <w:sz w:val="24"/>
          <w:szCs w:val="24"/>
        </w:rPr>
        <w:t>in this way might</w:t>
      </w:r>
      <w:r>
        <w:rPr>
          <w:rFonts w:ascii="Times New Roman" w:hAnsi="Times New Roman" w:cs="Times New Roman"/>
          <w:i/>
          <w:sz w:val="24"/>
          <w:szCs w:val="24"/>
        </w:rPr>
        <w:t xml:space="preserve"> generate serious access</w:t>
      </w:r>
      <w:r w:rsidR="00A55B22">
        <w:rPr>
          <w:rFonts w:ascii="Times New Roman" w:hAnsi="Times New Roman" w:cs="Times New Roman"/>
          <w:i/>
          <w:sz w:val="24"/>
          <w:szCs w:val="24"/>
        </w:rPr>
        <w:t>-</w:t>
      </w:r>
      <w:r>
        <w:rPr>
          <w:rFonts w:ascii="Times New Roman" w:hAnsi="Times New Roman" w:cs="Times New Roman"/>
          <w:i/>
          <w:sz w:val="24"/>
          <w:szCs w:val="24"/>
        </w:rPr>
        <w:t xml:space="preserve">related issues, especially </w:t>
      </w:r>
      <w:r w:rsidR="00A55B22">
        <w:rPr>
          <w:rFonts w:ascii="Times New Roman" w:hAnsi="Times New Roman" w:cs="Times New Roman"/>
          <w:i/>
          <w:sz w:val="24"/>
          <w:szCs w:val="24"/>
        </w:rPr>
        <w:t xml:space="preserve">where </w:t>
      </w:r>
      <w:r>
        <w:rPr>
          <w:rFonts w:ascii="Times New Roman" w:hAnsi="Times New Roman" w:cs="Times New Roman"/>
          <w:i/>
          <w:sz w:val="24"/>
          <w:szCs w:val="24"/>
        </w:rPr>
        <w:t>sole-source databases</w:t>
      </w:r>
      <w:r w:rsidR="00A55B22">
        <w:rPr>
          <w:rFonts w:ascii="Times New Roman" w:hAnsi="Times New Roman" w:cs="Times New Roman"/>
          <w:i/>
          <w:sz w:val="24"/>
          <w:szCs w:val="24"/>
        </w:rPr>
        <w:t xml:space="preserve"> are concerned</w:t>
      </w:r>
      <w:r>
        <w:rPr>
          <w:rFonts w:ascii="Times New Roman" w:hAnsi="Times New Roman" w:cs="Times New Roman"/>
          <w:i/>
          <w:sz w:val="24"/>
          <w:szCs w:val="24"/>
        </w:rPr>
        <w:t xml:space="preserve">. </w:t>
      </w:r>
      <w:r w:rsidR="00A55B22">
        <w:rPr>
          <w:rFonts w:ascii="Times New Roman" w:hAnsi="Times New Roman" w:cs="Times New Roman"/>
          <w:i/>
          <w:sz w:val="24"/>
          <w:szCs w:val="24"/>
        </w:rPr>
        <w:t xml:space="preserve">What is needed is </w:t>
      </w:r>
      <w:r>
        <w:rPr>
          <w:rFonts w:ascii="Times New Roman" w:hAnsi="Times New Roman" w:cs="Times New Roman"/>
          <w:i/>
          <w:sz w:val="24"/>
          <w:szCs w:val="24"/>
        </w:rPr>
        <w:t xml:space="preserve">a balance that, echoing the 1992 Proposal of the Directive, could be achieved by introducing </w:t>
      </w:r>
      <w:r w:rsidR="00B83640">
        <w:rPr>
          <w:rFonts w:ascii="Times New Roman" w:hAnsi="Times New Roman" w:cs="Times New Roman"/>
          <w:i/>
          <w:sz w:val="24"/>
          <w:szCs w:val="24"/>
        </w:rPr>
        <w:t xml:space="preserve">compulsory licensing </w:t>
      </w:r>
      <w:r>
        <w:rPr>
          <w:rFonts w:ascii="Times New Roman" w:hAnsi="Times New Roman" w:cs="Times New Roman"/>
          <w:i/>
          <w:sz w:val="24"/>
          <w:szCs w:val="24"/>
        </w:rPr>
        <w:t>provisions.</w:t>
      </w:r>
    </w:p>
    <w:p w14:paraId="11541FAA" w14:textId="77777777" w:rsidR="00860F04" w:rsidRDefault="00860F04" w:rsidP="00860F04">
      <w:pPr>
        <w:spacing w:after="0" w:line="240" w:lineRule="auto"/>
        <w:jc w:val="both"/>
        <w:rPr>
          <w:rFonts w:ascii="Times New Roman" w:hAnsi="Times New Roman" w:cs="Times New Roman"/>
          <w:b/>
          <w:sz w:val="24"/>
          <w:szCs w:val="24"/>
        </w:rPr>
      </w:pPr>
    </w:p>
    <w:p w14:paraId="1220AD7B" w14:textId="5FA2CADA" w:rsidR="00571899" w:rsidRDefault="00860F04" w:rsidP="00571899">
      <w:pPr>
        <w:pStyle w:val="Titoloperindice"/>
      </w:pPr>
      <w:r>
        <w:t>Table of contents</w:t>
      </w:r>
    </w:p>
    <w:p w14:paraId="69159A83" w14:textId="77777777" w:rsidR="00DC2150" w:rsidRPr="00571899" w:rsidRDefault="00DC2150" w:rsidP="00571899">
      <w:pPr>
        <w:pStyle w:val="Titoloperindice"/>
      </w:pPr>
    </w:p>
    <w:p w14:paraId="7B438BF0" w14:textId="228FB467" w:rsidR="00860F04" w:rsidRPr="00A469D1" w:rsidRDefault="00B821CE" w:rsidP="00DC2150">
      <w:pPr>
        <w:pStyle w:val="Titoloperindice"/>
        <w:numPr>
          <w:ilvl w:val="0"/>
          <w:numId w:val="3"/>
        </w:numPr>
        <w:ind w:left="426" w:hanging="426"/>
        <w:rPr>
          <w:b w:val="0"/>
        </w:rPr>
      </w:pPr>
      <w:r w:rsidRPr="00A469D1">
        <w:rPr>
          <w:b w:val="0"/>
        </w:rPr>
        <w:t>Introduction</w:t>
      </w:r>
    </w:p>
    <w:p w14:paraId="56D23037" w14:textId="6C46DF8A" w:rsidR="00DC2150" w:rsidRPr="00DC2150" w:rsidRDefault="004A54AB" w:rsidP="00DC2150">
      <w:pPr>
        <w:pStyle w:val="Titoloperindice"/>
        <w:numPr>
          <w:ilvl w:val="0"/>
          <w:numId w:val="3"/>
        </w:numPr>
        <w:ind w:left="426" w:hanging="426"/>
        <w:rPr>
          <w:b w:val="0"/>
        </w:rPr>
      </w:pPr>
      <w:r>
        <w:rPr>
          <w:b w:val="0"/>
        </w:rPr>
        <w:t>Core AI-related concepts and t</w:t>
      </w:r>
      <w:r w:rsidR="00DC2150" w:rsidRPr="00DC2150">
        <w:rPr>
          <w:b w:val="0"/>
        </w:rPr>
        <w:t>he importance of AI-generated databases within the EU framework</w:t>
      </w:r>
    </w:p>
    <w:p w14:paraId="74800D35" w14:textId="3DB6610F" w:rsidR="00570ACE" w:rsidRDefault="00570ACE" w:rsidP="00DC2150">
      <w:pPr>
        <w:pStyle w:val="Titoloperindice"/>
        <w:numPr>
          <w:ilvl w:val="0"/>
          <w:numId w:val="3"/>
        </w:numPr>
        <w:ind w:left="426" w:hanging="426"/>
        <w:rPr>
          <w:b w:val="0"/>
        </w:rPr>
      </w:pPr>
      <w:r>
        <w:rPr>
          <w:b w:val="0"/>
        </w:rPr>
        <w:t xml:space="preserve">Data </w:t>
      </w:r>
      <w:r w:rsidR="00A55B22">
        <w:rPr>
          <w:b w:val="0"/>
        </w:rPr>
        <w:t>l</w:t>
      </w:r>
      <w:r>
        <w:rPr>
          <w:b w:val="0"/>
        </w:rPr>
        <w:t xml:space="preserve">akes and databases. What </w:t>
      </w:r>
      <w:r w:rsidR="004054DF">
        <w:rPr>
          <w:b w:val="0"/>
        </w:rPr>
        <w:t xml:space="preserve">is relevant for </w:t>
      </w:r>
      <w:r>
        <w:rPr>
          <w:b w:val="0"/>
        </w:rPr>
        <w:t>our analysis?</w:t>
      </w:r>
    </w:p>
    <w:p w14:paraId="0568590A" w14:textId="18B64AE7" w:rsidR="00DC2150" w:rsidRPr="00DC2150" w:rsidRDefault="00876A3E" w:rsidP="00DC2150">
      <w:pPr>
        <w:pStyle w:val="Titoloperindice"/>
        <w:numPr>
          <w:ilvl w:val="0"/>
          <w:numId w:val="3"/>
        </w:numPr>
        <w:ind w:left="426" w:hanging="426"/>
        <w:rPr>
          <w:b w:val="0"/>
        </w:rPr>
      </w:pPr>
      <w:r>
        <w:rPr>
          <w:b w:val="0"/>
        </w:rPr>
        <w:t xml:space="preserve">Obtaining, verification, and presentation of </w:t>
      </w:r>
      <w:r w:rsidR="004054DF">
        <w:rPr>
          <w:b w:val="0"/>
        </w:rPr>
        <w:t>a</w:t>
      </w:r>
      <w:r>
        <w:rPr>
          <w:b w:val="0"/>
        </w:rPr>
        <w:t xml:space="preserve"> database’s contents. The issues with the creating/obtaining dichotomy.</w:t>
      </w:r>
    </w:p>
    <w:p w14:paraId="395B5DE3" w14:textId="5D44B02C" w:rsidR="00DC2150" w:rsidRPr="00DC2150" w:rsidRDefault="00DC2150" w:rsidP="00DC2150">
      <w:pPr>
        <w:pStyle w:val="Titoloperindice"/>
        <w:numPr>
          <w:ilvl w:val="0"/>
          <w:numId w:val="3"/>
        </w:numPr>
        <w:ind w:left="426" w:hanging="426"/>
        <w:rPr>
          <w:b w:val="0"/>
        </w:rPr>
      </w:pPr>
      <w:r w:rsidRPr="00DC2150">
        <w:rPr>
          <w:b w:val="0"/>
        </w:rPr>
        <w:t>The</w:t>
      </w:r>
      <w:r w:rsidR="00876A3E">
        <w:rPr>
          <w:b w:val="0"/>
        </w:rPr>
        <w:t xml:space="preserve"> (not-so)</w:t>
      </w:r>
      <w:r w:rsidRPr="00DC2150">
        <w:rPr>
          <w:b w:val="0"/>
        </w:rPr>
        <w:t xml:space="preserve"> substantial investment threshold</w:t>
      </w:r>
    </w:p>
    <w:p w14:paraId="68E70BE0" w14:textId="24643A37" w:rsidR="001E322A" w:rsidRPr="001E322A" w:rsidRDefault="001E322A" w:rsidP="00DC2150">
      <w:pPr>
        <w:pStyle w:val="Titoloperindice"/>
        <w:numPr>
          <w:ilvl w:val="0"/>
          <w:numId w:val="3"/>
        </w:numPr>
        <w:ind w:left="426" w:hanging="426"/>
        <w:rPr>
          <w:b w:val="0"/>
        </w:rPr>
      </w:pPr>
      <w:r w:rsidRPr="001E322A">
        <w:rPr>
          <w:b w:val="0"/>
        </w:rPr>
        <w:t>Sneaking through the window</w:t>
      </w:r>
      <w:r w:rsidR="00A55B22">
        <w:rPr>
          <w:b w:val="0"/>
        </w:rPr>
        <w:t>: t</w:t>
      </w:r>
      <w:r w:rsidRPr="001E322A">
        <w:rPr>
          <w:b w:val="0"/>
        </w:rPr>
        <w:t xml:space="preserve">he </w:t>
      </w:r>
      <w:r w:rsidRPr="001E322A">
        <w:rPr>
          <w:b w:val="0"/>
          <w:i/>
        </w:rPr>
        <w:t xml:space="preserve">Ryanair </w:t>
      </w:r>
      <w:r w:rsidRPr="001E322A">
        <w:rPr>
          <w:b w:val="0"/>
        </w:rPr>
        <w:t>case</w:t>
      </w:r>
    </w:p>
    <w:p w14:paraId="1C0674E8" w14:textId="341A0F98" w:rsidR="00DC2150" w:rsidRPr="00DC2150" w:rsidRDefault="00B83640" w:rsidP="00DC2150">
      <w:pPr>
        <w:pStyle w:val="Titoloperindice"/>
        <w:numPr>
          <w:ilvl w:val="0"/>
          <w:numId w:val="3"/>
        </w:numPr>
        <w:ind w:left="426" w:hanging="426"/>
        <w:rPr>
          <w:b w:val="0"/>
        </w:rPr>
      </w:pPr>
      <w:r>
        <w:rPr>
          <w:b w:val="0"/>
        </w:rPr>
        <w:lastRenderedPageBreak/>
        <w:t>A</w:t>
      </w:r>
      <w:r w:rsidR="00DC2150" w:rsidRPr="00DC2150">
        <w:rPr>
          <w:b w:val="0"/>
        </w:rPr>
        <w:t>pplication of the requirements to AI-generated databases</w:t>
      </w:r>
    </w:p>
    <w:p w14:paraId="3F412C3F" w14:textId="77777777" w:rsidR="00DC2150" w:rsidRPr="00DC2150" w:rsidRDefault="00DC2150" w:rsidP="00DC2150">
      <w:pPr>
        <w:pStyle w:val="Titoloperindice"/>
        <w:numPr>
          <w:ilvl w:val="0"/>
          <w:numId w:val="3"/>
        </w:numPr>
        <w:ind w:left="426" w:hanging="426"/>
        <w:rPr>
          <w:b w:val="0"/>
        </w:rPr>
      </w:pPr>
      <w:r w:rsidRPr="00DC2150">
        <w:rPr>
          <w:b w:val="0"/>
        </w:rPr>
        <w:t>Policy considerations</w:t>
      </w:r>
    </w:p>
    <w:p w14:paraId="6937C0FF" w14:textId="25AF8969" w:rsidR="00317546" w:rsidRDefault="00DC2150" w:rsidP="00DC2150">
      <w:pPr>
        <w:pStyle w:val="Titoloperindice"/>
        <w:numPr>
          <w:ilvl w:val="0"/>
          <w:numId w:val="3"/>
        </w:numPr>
        <w:ind w:left="426" w:hanging="426"/>
        <w:rPr>
          <w:b w:val="0"/>
        </w:rPr>
        <w:sectPr w:rsidR="00317546" w:rsidSect="005B684D">
          <w:footerReference w:type="default" r:id="rId8"/>
          <w:footnotePr>
            <w:numRestart w:val="eachSect"/>
          </w:footnotePr>
          <w:pgSz w:w="12240" w:h="15840"/>
          <w:pgMar w:top="1417" w:right="1325" w:bottom="1134" w:left="1134" w:header="708" w:footer="708" w:gutter="0"/>
          <w:cols w:space="708"/>
          <w:docGrid w:linePitch="360"/>
        </w:sectPr>
      </w:pPr>
      <w:r w:rsidRPr="00DC2150">
        <w:rPr>
          <w:b w:val="0"/>
        </w:rPr>
        <w:t>Con</w:t>
      </w:r>
      <w:r w:rsidR="00317546">
        <w:rPr>
          <w:b w:val="0"/>
        </w:rPr>
        <w:t>clusio</w:t>
      </w:r>
      <w:r w:rsidR="0001054E">
        <w:rPr>
          <w:b w:val="0"/>
        </w:rPr>
        <w:t>n</w:t>
      </w:r>
    </w:p>
    <w:p w14:paraId="714E2E42" w14:textId="77777777" w:rsidR="00571899" w:rsidRPr="00DC2150" w:rsidRDefault="00571899" w:rsidP="00860F04">
      <w:pPr>
        <w:spacing w:after="0" w:line="240" w:lineRule="auto"/>
        <w:jc w:val="both"/>
        <w:rPr>
          <w:rFonts w:ascii="Times New Roman" w:hAnsi="Times New Roman" w:cs="Times New Roman"/>
          <w:b/>
          <w:sz w:val="24"/>
          <w:szCs w:val="24"/>
        </w:rPr>
      </w:pPr>
    </w:p>
    <w:p w14:paraId="695C6D79" w14:textId="2602BF1B" w:rsidR="003B2C5C" w:rsidRDefault="003B2C5C" w:rsidP="00571899">
      <w:pPr>
        <w:pStyle w:val="Titoloperindice"/>
        <w:numPr>
          <w:ilvl w:val="0"/>
          <w:numId w:val="2"/>
        </w:numPr>
      </w:pPr>
      <w:r>
        <w:t>Introduction</w:t>
      </w:r>
    </w:p>
    <w:p w14:paraId="19E09B64" w14:textId="77777777" w:rsidR="003B2C5C" w:rsidRDefault="003B2C5C" w:rsidP="003B2C5C">
      <w:pPr>
        <w:spacing w:after="0" w:line="240" w:lineRule="auto"/>
        <w:ind w:left="66"/>
        <w:jc w:val="both"/>
        <w:rPr>
          <w:rFonts w:ascii="Times New Roman" w:hAnsi="Times New Roman" w:cs="Times New Roman"/>
          <w:b/>
          <w:sz w:val="24"/>
          <w:szCs w:val="24"/>
        </w:rPr>
      </w:pPr>
    </w:p>
    <w:p w14:paraId="3CB70D4C" w14:textId="5C1B240D" w:rsidR="003F3E6B" w:rsidRDefault="003B2C5C" w:rsidP="00DB2E81">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Data is </w:t>
      </w:r>
      <w:r w:rsidR="00776056">
        <w:rPr>
          <w:rFonts w:ascii="Times New Roman" w:hAnsi="Times New Roman" w:cs="Times New Roman"/>
          <w:sz w:val="24"/>
          <w:szCs w:val="24"/>
        </w:rPr>
        <w:t xml:space="preserve">central to </w:t>
      </w:r>
      <w:r>
        <w:rPr>
          <w:rFonts w:ascii="Times New Roman" w:hAnsi="Times New Roman" w:cs="Times New Roman"/>
          <w:sz w:val="24"/>
          <w:szCs w:val="24"/>
        </w:rPr>
        <w:t>the digital transformation of the economy and society</w:t>
      </w:r>
      <w:r w:rsidR="00776056">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Considering the volume of data already produced and the </w:t>
      </w:r>
      <w:r w:rsidR="00776056">
        <w:rPr>
          <w:rFonts w:ascii="Times New Roman" w:hAnsi="Times New Roman" w:cs="Times New Roman"/>
          <w:sz w:val="24"/>
          <w:szCs w:val="24"/>
        </w:rPr>
        <w:t>volume</w:t>
      </w:r>
      <w:r>
        <w:rPr>
          <w:rFonts w:ascii="Times New Roman" w:hAnsi="Times New Roman" w:cs="Times New Roman"/>
          <w:sz w:val="24"/>
          <w:szCs w:val="24"/>
        </w:rPr>
        <w:t xml:space="preserve"> expected in the future</w:t>
      </w:r>
      <w:r w:rsidR="00776056">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as well as the projected </w:t>
      </w:r>
      <w:r w:rsidR="00776056">
        <w:rPr>
          <w:rFonts w:ascii="Times New Roman" w:hAnsi="Times New Roman" w:cs="Times New Roman"/>
          <w:sz w:val="24"/>
          <w:szCs w:val="24"/>
        </w:rPr>
        <w:t>value of the dat</w:t>
      </w:r>
      <w:r w:rsidR="00CA73B0">
        <w:rPr>
          <w:rFonts w:ascii="Times New Roman" w:hAnsi="Times New Roman" w:cs="Times New Roman"/>
          <w:sz w:val="24"/>
          <w:szCs w:val="24"/>
        </w:rPr>
        <w:t>a</w:t>
      </w:r>
      <w:r w:rsidR="00776056">
        <w:rPr>
          <w:rFonts w:ascii="Times New Roman" w:hAnsi="Times New Roman" w:cs="Times New Roman"/>
          <w:sz w:val="24"/>
          <w:szCs w:val="24"/>
        </w:rPr>
        <w:t xml:space="preserve"> economy (as much as </w:t>
      </w:r>
      <w:r w:rsidR="006A01A8">
        <w:rPr>
          <w:rFonts w:ascii="Times New Roman" w:hAnsi="Times New Roman" w:cs="Times New Roman"/>
          <w:sz w:val="24"/>
          <w:szCs w:val="24"/>
        </w:rPr>
        <w:t>€829 billion in 2025</w:t>
      </w:r>
      <w:r w:rsidR="00776056">
        <w:rPr>
          <w:rFonts w:ascii="Times New Roman" w:hAnsi="Times New Roman" w:cs="Times New Roman"/>
          <w:sz w:val="24"/>
          <w:szCs w:val="24"/>
        </w:rPr>
        <w:t>)</w:t>
      </w:r>
      <w:r w:rsidR="00B83640">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876A3E">
        <w:rPr>
          <w:rFonts w:ascii="Times New Roman" w:hAnsi="Times New Roman" w:cs="Times New Roman"/>
          <w:sz w:val="24"/>
          <w:szCs w:val="24"/>
        </w:rPr>
        <w:t xml:space="preserve">it is </w:t>
      </w:r>
      <w:r w:rsidR="00776056">
        <w:rPr>
          <w:rFonts w:ascii="Times New Roman" w:hAnsi="Times New Roman" w:cs="Times New Roman"/>
          <w:sz w:val="24"/>
          <w:szCs w:val="24"/>
        </w:rPr>
        <w:t xml:space="preserve">a matter of urgency </w:t>
      </w:r>
      <w:r>
        <w:rPr>
          <w:rFonts w:ascii="Times New Roman" w:hAnsi="Times New Roman" w:cs="Times New Roman"/>
          <w:sz w:val="24"/>
          <w:szCs w:val="24"/>
        </w:rPr>
        <w:t xml:space="preserve">to assess whether the </w:t>
      </w:r>
      <w:r w:rsidR="00776056">
        <w:rPr>
          <w:rFonts w:ascii="Times New Roman" w:hAnsi="Times New Roman" w:cs="Times New Roman"/>
          <w:sz w:val="24"/>
          <w:szCs w:val="24"/>
        </w:rPr>
        <w:t xml:space="preserve">provisions of the </w:t>
      </w:r>
      <w:r>
        <w:rPr>
          <w:rFonts w:ascii="Times New Roman" w:hAnsi="Times New Roman" w:cs="Times New Roman"/>
          <w:sz w:val="24"/>
          <w:szCs w:val="24"/>
        </w:rPr>
        <w:t>EU</w:t>
      </w:r>
      <w:r w:rsidR="00776056">
        <w:rPr>
          <w:rFonts w:ascii="Times New Roman" w:hAnsi="Times New Roman" w:cs="Times New Roman"/>
          <w:sz w:val="24"/>
          <w:szCs w:val="24"/>
        </w:rPr>
        <w:t>’s</w:t>
      </w:r>
      <w:r>
        <w:rPr>
          <w:rFonts w:ascii="Times New Roman" w:hAnsi="Times New Roman" w:cs="Times New Roman"/>
          <w:sz w:val="24"/>
          <w:szCs w:val="24"/>
        </w:rPr>
        <w:t xml:space="preserve"> l</w:t>
      </w:r>
      <w:r w:rsidR="00776056">
        <w:rPr>
          <w:rFonts w:ascii="Times New Roman" w:hAnsi="Times New Roman" w:cs="Times New Roman"/>
          <w:sz w:val="24"/>
          <w:szCs w:val="24"/>
        </w:rPr>
        <w:t>egal</w:t>
      </w:r>
      <w:r>
        <w:rPr>
          <w:rFonts w:ascii="Times New Roman" w:hAnsi="Times New Roman" w:cs="Times New Roman"/>
          <w:sz w:val="24"/>
          <w:szCs w:val="24"/>
        </w:rPr>
        <w:t xml:space="preserve"> framework are adequate. The main purpose of this paper is to </w:t>
      </w:r>
      <w:r w:rsidR="00776056">
        <w:rPr>
          <w:rFonts w:ascii="Times New Roman" w:hAnsi="Times New Roman" w:cs="Times New Roman"/>
          <w:sz w:val="24"/>
          <w:szCs w:val="24"/>
        </w:rPr>
        <w:t xml:space="preserve">investigate </w:t>
      </w:r>
      <w:r>
        <w:rPr>
          <w:rFonts w:ascii="Times New Roman" w:hAnsi="Times New Roman" w:cs="Times New Roman"/>
          <w:sz w:val="24"/>
          <w:szCs w:val="24"/>
        </w:rPr>
        <w:t xml:space="preserve">whether AI-generated databases are protected under the </w:t>
      </w:r>
      <w:r w:rsidRPr="00632C21">
        <w:rPr>
          <w:rFonts w:ascii="Times New Roman" w:hAnsi="Times New Roman" w:cs="Times New Roman"/>
          <w:iCs/>
          <w:sz w:val="24"/>
          <w:szCs w:val="24"/>
        </w:rPr>
        <w:t>sui generis</w:t>
      </w:r>
      <w:r>
        <w:rPr>
          <w:rFonts w:ascii="Times New Roman" w:hAnsi="Times New Roman" w:cs="Times New Roman"/>
          <w:i/>
          <w:sz w:val="24"/>
          <w:szCs w:val="24"/>
        </w:rPr>
        <w:t xml:space="preserve"> </w:t>
      </w:r>
      <w:r>
        <w:rPr>
          <w:rFonts w:ascii="Times New Roman" w:hAnsi="Times New Roman" w:cs="Times New Roman"/>
          <w:sz w:val="24"/>
          <w:szCs w:val="24"/>
        </w:rPr>
        <w:t xml:space="preserve">right </w:t>
      </w:r>
      <w:r w:rsidR="00776056">
        <w:rPr>
          <w:rFonts w:ascii="Times New Roman" w:hAnsi="Times New Roman" w:cs="Times New Roman"/>
          <w:sz w:val="24"/>
          <w:szCs w:val="24"/>
        </w:rPr>
        <w:t xml:space="preserve">granted </w:t>
      </w:r>
      <w:r>
        <w:rPr>
          <w:rFonts w:ascii="Times New Roman" w:hAnsi="Times New Roman" w:cs="Times New Roman"/>
          <w:sz w:val="24"/>
          <w:szCs w:val="24"/>
        </w:rPr>
        <w:t xml:space="preserve">by </w:t>
      </w:r>
      <w:r w:rsidR="00876A3E">
        <w:rPr>
          <w:rFonts w:ascii="Times New Roman" w:hAnsi="Times New Roman" w:cs="Times New Roman"/>
          <w:sz w:val="24"/>
          <w:szCs w:val="24"/>
        </w:rPr>
        <w:t xml:space="preserve">Directive 96/9 (hereinafter </w:t>
      </w:r>
      <w:r w:rsidR="00776056">
        <w:rPr>
          <w:rFonts w:ascii="Times New Roman" w:hAnsi="Times New Roman" w:cs="Times New Roman"/>
          <w:sz w:val="24"/>
          <w:szCs w:val="24"/>
        </w:rPr>
        <w:t>the “</w:t>
      </w:r>
      <w:r>
        <w:rPr>
          <w:rFonts w:ascii="Times New Roman" w:hAnsi="Times New Roman" w:cs="Times New Roman"/>
          <w:sz w:val="24"/>
          <w:szCs w:val="24"/>
        </w:rPr>
        <w:t>Database Directive</w:t>
      </w:r>
      <w:r w:rsidR="00776056">
        <w:rPr>
          <w:rFonts w:ascii="Times New Roman" w:hAnsi="Times New Roman" w:cs="Times New Roman"/>
          <w:sz w:val="24"/>
          <w:szCs w:val="24"/>
        </w:rPr>
        <w:t>”</w:t>
      </w:r>
      <w:r w:rsidR="00876A3E">
        <w:rPr>
          <w:rFonts w:ascii="Times New Roman" w:hAnsi="Times New Roman" w:cs="Times New Roman"/>
          <w:sz w:val="24"/>
          <w:szCs w:val="24"/>
        </w:rPr>
        <w:t>)</w:t>
      </w:r>
      <w:r w:rsidR="00776056">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B821CE">
        <w:rPr>
          <w:rFonts w:ascii="Times New Roman" w:hAnsi="Times New Roman" w:cs="Times New Roman"/>
          <w:sz w:val="24"/>
          <w:szCs w:val="24"/>
        </w:rPr>
        <w:t xml:space="preserve"> </w:t>
      </w:r>
      <w:r w:rsidR="00776056">
        <w:rPr>
          <w:rFonts w:ascii="Times New Roman" w:hAnsi="Times New Roman" w:cs="Times New Roman"/>
          <w:sz w:val="24"/>
          <w:szCs w:val="24"/>
        </w:rPr>
        <w:t xml:space="preserve">Even though </w:t>
      </w:r>
      <w:r w:rsidR="00B821CE">
        <w:rPr>
          <w:rFonts w:ascii="Times New Roman" w:hAnsi="Times New Roman" w:cs="Times New Roman"/>
          <w:sz w:val="24"/>
          <w:szCs w:val="24"/>
        </w:rPr>
        <w:t>some commentators have called (and</w:t>
      </w:r>
      <w:r w:rsidR="003F5300">
        <w:rPr>
          <w:rFonts w:ascii="Times New Roman" w:hAnsi="Times New Roman" w:cs="Times New Roman"/>
          <w:sz w:val="24"/>
          <w:szCs w:val="24"/>
        </w:rPr>
        <w:t xml:space="preserve"> are</w:t>
      </w:r>
      <w:r w:rsidR="00B821CE">
        <w:rPr>
          <w:rFonts w:ascii="Times New Roman" w:hAnsi="Times New Roman" w:cs="Times New Roman"/>
          <w:sz w:val="24"/>
          <w:szCs w:val="24"/>
        </w:rPr>
        <w:t xml:space="preserve"> still calling) for </w:t>
      </w:r>
      <w:r w:rsidR="00776056">
        <w:rPr>
          <w:rFonts w:ascii="Times New Roman" w:hAnsi="Times New Roman" w:cs="Times New Roman"/>
          <w:sz w:val="24"/>
          <w:szCs w:val="24"/>
        </w:rPr>
        <w:t xml:space="preserve">it to be </w:t>
      </w:r>
      <w:r w:rsidR="00B821CE">
        <w:rPr>
          <w:rFonts w:ascii="Times New Roman" w:hAnsi="Times New Roman" w:cs="Times New Roman"/>
          <w:sz w:val="24"/>
          <w:szCs w:val="24"/>
        </w:rPr>
        <w:t>abolish</w:t>
      </w:r>
      <w:r w:rsidR="00776056">
        <w:rPr>
          <w:rFonts w:ascii="Times New Roman" w:hAnsi="Times New Roman" w:cs="Times New Roman"/>
          <w:sz w:val="24"/>
          <w:szCs w:val="24"/>
        </w:rPr>
        <w:t>ed,</w:t>
      </w:r>
      <w:r w:rsidR="00302E92">
        <w:rPr>
          <w:rStyle w:val="FootnoteReference"/>
          <w:rFonts w:ascii="Times New Roman" w:hAnsi="Times New Roman" w:cs="Times New Roman"/>
          <w:sz w:val="24"/>
          <w:szCs w:val="24"/>
        </w:rPr>
        <w:footnoteReference w:id="6"/>
      </w:r>
      <w:r w:rsidR="00302E92">
        <w:rPr>
          <w:rFonts w:ascii="Times New Roman" w:hAnsi="Times New Roman" w:cs="Times New Roman"/>
          <w:sz w:val="24"/>
          <w:szCs w:val="24"/>
        </w:rPr>
        <w:t xml:space="preserve"> as we </w:t>
      </w:r>
      <w:r w:rsidR="00776056">
        <w:rPr>
          <w:rFonts w:ascii="Times New Roman" w:hAnsi="Times New Roman" w:cs="Times New Roman"/>
          <w:sz w:val="24"/>
          <w:szCs w:val="24"/>
        </w:rPr>
        <w:t>shall</w:t>
      </w:r>
      <w:r w:rsidR="00302E92">
        <w:rPr>
          <w:rFonts w:ascii="Times New Roman" w:hAnsi="Times New Roman" w:cs="Times New Roman"/>
          <w:sz w:val="24"/>
          <w:szCs w:val="24"/>
        </w:rPr>
        <w:t xml:space="preserve"> see</w:t>
      </w:r>
      <w:r w:rsidR="003F5300">
        <w:rPr>
          <w:rFonts w:ascii="Times New Roman" w:hAnsi="Times New Roman" w:cs="Times New Roman"/>
          <w:sz w:val="24"/>
          <w:szCs w:val="24"/>
        </w:rPr>
        <w:t>, granting such protection could</w:t>
      </w:r>
      <w:r w:rsidR="00302E92">
        <w:rPr>
          <w:rFonts w:ascii="Times New Roman" w:hAnsi="Times New Roman" w:cs="Times New Roman"/>
          <w:sz w:val="24"/>
          <w:szCs w:val="24"/>
        </w:rPr>
        <w:t xml:space="preserve"> </w:t>
      </w:r>
      <w:r w:rsidR="00776056">
        <w:rPr>
          <w:rFonts w:ascii="Times New Roman" w:hAnsi="Times New Roman" w:cs="Times New Roman"/>
          <w:sz w:val="24"/>
          <w:szCs w:val="24"/>
        </w:rPr>
        <w:t xml:space="preserve">be </w:t>
      </w:r>
      <w:r w:rsidR="00302E92">
        <w:rPr>
          <w:rFonts w:ascii="Times New Roman" w:hAnsi="Times New Roman" w:cs="Times New Roman"/>
          <w:sz w:val="24"/>
          <w:szCs w:val="24"/>
        </w:rPr>
        <w:t>the best solution, especially considering the alternatives</w:t>
      </w:r>
      <w:r w:rsidR="00776056">
        <w:rPr>
          <w:rFonts w:ascii="Times New Roman" w:hAnsi="Times New Roman" w:cs="Times New Roman"/>
          <w:sz w:val="24"/>
          <w:szCs w:val="24"/>
        </w:rPr>
        <w:t>,</w:t>
      </w:r>
      <w:r w:rsidR="00302E92">
        <w:rPr>
          <w:rFonts w:ascii="Times New Roman" w:hAnsi="Times New Roman" w:cs="Times New Roman"/>
          <w:sz w:val="24"/>
          <w:szCs w:val="24"/>
        </w:rPr>
        <w:t xml:space="preserve"> which </w:t>
      </w:r>
      <w:r w:rsidR="00776056">
        <w:rPr>
          <w:rFonts w:ascii="Times New Roman" w:hAnsi="Times New Roman" w:cs="Times New Roman"/>
          <w:sz w:val="24"/>
          <w:szCs w:val="24"/>
        </w:rPr>
        <w:t xml:space="preserve">would most likely </w:t>
      </w:r>
      <w:r w:rsidR="00302E92">
        <w:rPr>
          <w:rFonts w:ascii="Times New Roman" w:hAnsi="Times New Roman" w:cs="Times New Roman"/>
          <w:sz w:val="24"/>
          <w:szCs w:val="24"/>
        </w:rPr>
        <w:t>lead to over</w:t>
      </w:r>
      <w:r w:rsidR="00776056">
        <w:rPr>
          <w:rFonts w:ascii="Times New Roman" w:hAnsi="Times New Roman" w:cs="Times New Roman"/>
          <w:sz w:val="24"/>
          <w:szCs w:val="24"/>
        </w:rPr>
        <w:t>-</w:t>
      </w:r>
      <w:r w:rsidR="00302E92">
        <w:rPr>
          <w:rFonts w:ascii="Times New Roman" w:hAnsi="Times New Roman" w:cs="Times New Roman"/>
          <w:sz w:val="24"/>
          <w:szCs w:val="24"/>
        </w:rPr>
        <w:t>protection.</w:t>
      </w:r>
    </w:p>
    <w:p w14:paraId="0D128B70" w14:textId="5585E284" w:rsidR="009B2382" w:rsidRDefault="003B2C5C" w:rsidP="00DB2E81">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14:paraId="0C4FCDDA" w14:textId="50542E1F" w:rsidR="003F3E6B" w:rsidRDefault="00302E92" w:rsidP="003B2C5C">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The starting point</w:t>
      </w:r>
      <w:r w:rsidR="003F5300">
        <w:rPr>
          <w:rFonts w:ascii="Times New Roman" w:hAnsi="Times New Roman" w:cs="Times New Roman"/>
          <w:sz w:val="24"/>
          <w:szCs w:val="24"/>
        </w:rPr>
        <w:t xml:space="preserve"> of this analysis </w:t>
      </w:r>
      <w:r w:rsidR="00776056">
        <w:rPr>
          <w:rFonts w:ascii="Times New Roman" w:hAnsi="Times New Roman" w:cs="Times New Roman"/>
          <w:sz w:val="24"/>
          <w:szCs w:val="24"/>
        </w:rPr>
        <w:t>is</w:t>
      </w:r>
      <w:r>
        <w:rPr>
          <w:rFonts w:ascii="Times New Roman" w:hAnsi="Times New Roman" w:cs="Times New Roman"/>
          <w:sz w:val="24"/>
          <w:szCs w:val="24"/>
        </w:rPr>
        <w:t xml:space="preserve"> the position of the European Commission, which</w:t>
      </w:r>
      <w:r w:rsidR="004C4393">
        <w:rPr>
          <w:rFonts w:ascii="Times New Roman" w:hAnsi="Times New Roman" w:cs="Times New Roman"/>
          <w:sz w:val="24"/>
          <w:szCs w:val="24"/>
        </w:rPr>
        <w:t>, in its 2018 evaluation of the Directive, clearly state</w:t>
      </w:r>
      <w:r w:rsidR="00E250B8">
        <w:rPr>
          <w:rFonts w:ascii="Times New Roman" w:hAnsi="Times New Roman" w:cs="Times New Roman"/>
          <w:sz w:val="24"/>
          <w:szCs w:val="24"/>
        </w:rPr>
        <w:t>d</w:t>
      </w:r>
      <w:r w:rsidR="00DB2E81">
        <w:rPr>
          <w:rFonts w:ascii="Times New Roman" w:hAnsi="Times New Roman" w:cs="Times New Roman"/>
          <w:sz w:val="24"/>
          <w:szCs w:val="24"/>
        </w:rPr>
        <w:t xml:space="preserve"> that</w:t>
      </w:r>
      <w:r w:rsidR="004C4393">
        <w:rPr>
          <w:rFonts w:ascii="Times New Roman" w:hAnsi="Times New Roman" w:cs="Times New Roman"/>
          <w:sz w:val="24"/>
          <w:szCs w:val="24"/>
        </w:rPr>
        <w:t xml:space="preserve"> the </w:t>
      </w:r>
      <w:r w:rsidR="004C4393" w:rsidRPr="00973232">
        <w:rPr>
          <w:rFonts w:ascii="Times New Roman" w:hAnsi="Times New Roman" w:cs="Times New Roman"/>
          <w:sz w:val="24"/>
          <w:szCs w:val="24"/>
        </w:rPr>
        <w:t>sui generis</w:t>
      </w:r>
      <w:r w:rsidR="00301A53">
        <w:rPr>
          <w:rFonts w:ascii="Times New Roman" w:hAnsi="Times New Roman" w:cs="Times New Roman"/>
          <w:sz w:val="24"/>
          <w:szCs w:val="24"/>
        </w:rPr>
        <w:t xml:space="preserve"> right </w:t>
      </w:r>
      <w:r w:rsidR="004C4393">
        <w:rPr>
          <w:rFonts w:ascii="Times New Roman" w:hAnsi="Times New Roman" w:cs="Times New Roman"/>
          <w:sz w:val="24"/>
          <w:szCs w:val="24"/>
        </w:rPr>
        <w:t>does not apply broadly to the data economy</w:t>
      </w:r>
      <w:r w:rsidR="004A54AB">
        <w:rPr>
          <w:rFonts w:ascii="Times New Roman" w:hAnsi="Times New Roman" w:cs="Times New Roman"/>
          <w:sz w:val="24"/>
          <w:szCs w:val="24"/>
        </w:rPr>
        <w:t>,</w:t>
      </w:r>
      <w:r w:rsidR="00632C21">
        <w:rPr>
          <w:rFonts w:ascii="Times New Roman" w:hAnsi="Times New Roman" w:cs="Times New Roman"/>
          <w:sz w:val="24"/>
          <w:szCs w:val="24"/>
        </w:rPr>
        <w:t xml:space="preserve"> </w:t>
      </w:r>
      <w:r w:rsidR="003D7667">
        <w:rPr>
          <w:rFonts w:ascii="Times New Roman" w:hAnsi="Times New Roman" w:cs="Times New Roman"/>
          <w:sz w:val="24"/>
          <w:szCs w:val="24"/>
        </w:rPr>
        <w:t>including</w:t>
      </w:r>
      <w:r w:rsidR="004A54AB">
        <w:rPr>
          <w:rFonts w:ascii="Times New Roman" w:hAnsi="Times New Roman" w:cs="Times New Roman"/>
          <w:sz w:val="24"/>
          <w:szCs w:val="24"/>
        </w:rPr>
        <w:t xml:space="preserve"> Artificial Intelligence</w:t>
      </w:r>
      <w:r w:rsidR="003D7667">
        <w:rPr>
          <w:rFonts w:ascii="Times New Roman" w:hAnsi="Times New Roman" w:cs="Times New Roman"/>
          <w:sz w:val="24"/>
          <w:szCs w:val="24"/>
        </w:rPr>
        <w:t xml:space="preserve"> </w:t>
      </w:r>
      <w:r w:rsidR="004A54AB">
        <w:rPr>
          <w:rFonts w:ascii="Times New Roman" w:hAnsi="Times New Roman" w:cs="Times New Roman"/>
          <w:sz w:val="24"/>
          <w:szCs w:val="24"/>
        </w:rPr>
        <w:t>(</w:t>
      </w:r>
      <w:r w:rsidR="003D7667">
        <w:rPr>
          <w:rFonts w:ascii="Times New Roman" w:hAnsi="Times New Roman" w:cs="Times New Roman"/>
          <w:sz w:val="24"/>
          <w:szCs w:val="24"/>
        </w:rPr>
        <w:t>AI</w:t>
      </w:r>
      <w:r w:rsidR="004A54AB">
        <w:rPr>
          <w:rFonts w:ascii="Times New Roman" w:hAnsi="Times New Roman" w:cs="Times New Roman"/>
          <w:sz w:val="24"/>
          <w:szCs w:val="24"/>
        </w:rPr>
        <w:t>).</w:t>
      </w:r>
      <w:r w:rsidR="004C4393">
        <w:rPr>
          <w:rStyle w:val="FootnoteReference"/>
          <w:rFonts w:ascii="Times New Roman" w:hAnsi="Times New Roman" w:cs="Times New Roman"/>
          <w:sz w:val="24"/>
          <w:szCs w:val="24"/>
        </w:rPr>
        <w:footnoteReference w:id="7"/>
      </w:r>
      <w:r w:rsidR="003D7667">
        <w:rPr>
          <w:rFonts w:ascii="Times New Roman" w:hAnsi="Times New Roman" w:cs="Times New Roman"/>
          <w:sz w:val="24"/>
          <w:szCs w:val="24"/>
        </w:rPr>
        <w:t xml:space="preserve"> </w:t>
      </w:r>
      <w:r w:rsidR="00E3496B">
        <w:rPr>
          <w:rFonts w:ascii="Times New Roman" w:hAnsi="Times New Roman" w:cs="Times New Roman"/>
          <w:sz w:val="24"/>
          <w:szCs w:val="24"/>
        </w:rPr>
        <w:t>A</w:t>
      </w:r>
      <w:r w:rsidR="003D7667">
        <w:rPr>
          <w:rFonts w:ascii="Times New Roman" w:hAnsi="Times New Roman" w:cs="Times New Roman"/>
          <w:sz w:val="24"/>
          <w:szCs w:val="24"/>
        </w:rPr>
        <w:t xml:space="preserve">fter </w:t>
      </w:r>
      <w:r w:rsidR="004A54AB">
        <w:rPr>
          <w:rFonts w:ascii="Times New Roman" w:hAnsi="Times New Roman" w:cs="Times New Roman"/>
          <w:sz w:val="24"/>
          <w:szCs w:val="24"/>
        </w:rPr>
        <w:t>a brief analysis of the core</w:t>
      </w:r>
      <w:r w:rsidR="00B429F4">
        <w:rPr>
          <w:rFonts w:ascii="Times New Roman" w:hAnsi="Times New Roman" w:cs="Times New Roman"/>
          <w:sz w:val="24"/>
          <w:szCs w:val="24"/>
        </w:rPr>
        <w:t xml:space="preserve"> AI</w:t>
      </w:r>
      <w:r w:rsidR="004A54AB">
        <w:rPr>
          <w:rFonts w:ascii="Times New Roman" w:hAnsi="Times New Roman" w:cs="Times New Roman"/>
          <w:sz w:val="24"/>
          <w:szCs w:val="24"/>
        </w:rPr>
        <w:t>-related concepts</w:t>
      </w:r>
      <w:r w:rsidR="00E3496B">
        <w:rPr>
          <w:rFonts w:ascii="Times New Roman" w:hAnsi="Times New Roman" w:cs="Times New Roman"/>
          <w:sz w:val="24"/>
          <w:szCs w:val="24"/>
        </w:rPr>
        <w:t xml:space="preserve">, and consideration of </w:t>
      </w:r>
      <w:r w:rsidR="003D7667">
        <w:rPr>
          <w:rFonts w:ascii="Times New Roman" w:hAnsi="Times New Roman" w:cs="Times New Roman"/>
          <w:sz w:val="24"/>
          <w:szCs w:val="24"/>
        </w:rPr>
        <w:t>the importance of AI-generated databases, it w</w:t>
      </w:r>
      <w:r w:rsidR="00E3496B">
        <w:rPr>
          <w:rFonts w:ascii="Times New Roman" w:hAnsi="Times New Roman" w:cs="Times New Roman"/>
          <w:sz w:val="24"/>
          <w:szCs w:val="24"/>
        </w:rPr>
        <w:t>ill</w:t>
      </w:r>
      <w:r w:rsidR="003D7667">
        <w:rPr>
          <w:rFonts w:ascii="Times New Roman" w:hAnsi="Times New Roman" w:cs="Times New Roman"/>
          <w:sz w:val="24"/>
          <w:szCs w:val="24"/>
        </w:rPr>
        <w:t xml:space="preserve"> be necessary to verify </w:t>
      </w:r>
      <w:r w:rsidR="00E3496B">
        <w:rPr>
          <w:rFonts w:ascii="Times New Roman" w:hAnsi="Times New Roman" w:cs="Times New Roman"/>
          <w:sz w:val="24"/>
          <w:szCs w:val="24"/>
        </w:rPr>
        <w:t xml:space="preserve">whether </w:t>
      </w:r>
      <w:r w:rsidR="003D7667">
        <w:rPr>
          <w:rFonts w:ascii="Times New Roman" w:hAnsi="Times New Roman" w:cs="Times New Roman"/>
          <w:sz w:val="24"/>
          <w:szCs w:val="24"/>
        </w:rPr>
        <w:t>the</w:t>
      </w:r>
      <w:r w:rsidR="004A54AB">
        <w:rPr>
          <w:rFonts w:ascii="Times New Roman" w:hAnsi="Times New Roman" w:cs="Times New Roman"/>
          <w:sz w:val="24"/>
          <w:szCs w:val="24"/>
        </w:rPr>
        <w:t>y meet the</w:t>
      </w:r>
      <w:r w:rsidR="00632C21">
        <w:rPr>
          <w:rFonts w:ascii="Times New Roman" w:hAnsi="Times New Roman" w:cs="Times New Roman"/>
          <w:sz w:val="24"/>
          <w:szCs w:val="24"/>
        </w:rPr>
        <w:t xml:space="preserve"> </w:t>
      </w:r>
      <w:r w:rsidR="003D7667">
        <w:rPr>
          <w:rFonts w:ascii="Times New Roman" w:hAnsi="Times New Roman" w:cs="Times New Roman"/>
          <w:sz w:val="24"/>
          <w:szCs w:val="24"/>
        </w:rPr>
        <w:t>requi</w:t>
      </w:r>
      <w:r w:rsidR="00E250B8">
        <w:rPr>
          <w:rFonts w:ascii="Times New Roman" w:hAnsi="Times New Roman" w:cs="Times New Roman"/>
          <w:sz w:val="24"/>
          <w:szCs w:val="24"/>
        </w:rPr>
        <w:t>rements</w:t>
      </w:r>
      <w:r w:rsidR="009B2382">
        <w:rPr>
          <w:rFonts w:ascii="Times New Roman" w:hAnsi="Times New Roman" w:cs="Times New Roman"/>
          <w:sz w:val="24"/>
          <w:szCs w:val="24"/>
        </w:rPr>
        <w:t xml:space="preserve"> set </w:t>
      </w:r>
      <w:r w:rsidR="004A54AB">
        <w:rPr>
          <w:rFonts w:ascii="Times New Roman" w:hAnsi="Times New Roman" w:cs="Times New Roman"/>
          <w:sz w:val="24"/>
          <w:szCs w:val="24"/>
        </w:rPr>
        <w:t xml:space="preserve">out </w:t>
      </w:r>
      <w:r w:rsidR="00E3496B">
        <w:rPr>
          <w:rFonts w:ascii="Times New Roman" w:hAnsi="Times New Roman" w:cs="Times New Roman"/>
          <w:sz w:val="24"/>
          <w:szCs w:val="24"/>
        </w:rPr>
        <w:t>in</w:t>
      </w:r>
      <w:r w:rsidR="004A54AB">
        <w:rPr>
          <w:rFonts w:ascii="Times New Roman" w:hAnsi="Times New Roman" w:cs="Times New Roman"/>
          <w:sz w:val="24"/>
          <w:szCs w:val="24"/>
        </w:rPr>
        <w:t xml:space="preserve"> the</w:t>
      </w:r>
      <w:r w:rsidR="009B2382">
        <w:rPr>
          <w:rFonts w:ascii="Times New Roman" w:hAnsi="Times New Roman" w:cs="Times New Roman"/>
          <w:sz w:val="24"/>
          <w:szCs w:val="24"/>
        </w:rPr>
        <w:t xml:space="preserve"> Database Directive</w:t>
      </w:r>
      <w:r w:rsidR="004A54AB">
        <w:rPr>
          <w:rFonts w:ascii="Times New Roman" w:hAnsi="Times New Roman" w:cs="Times New Roman"/>
          <w:sz w:val="24"/>
          <w:szCs w:val="24"/>
        </w:rPr>
        <w:t>.</w:t>
      </w:r>
    </w:p>
    <w:p w14:paraId="79E85B95" w14:textId="6C98ED3F" w:rsidR="00030FD8" w:rsidRDefault="00B821CE" w:rsidP="003B2C5C">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14:paraId="5D9B8DAE" w14:textId="4EAAAAD5" w:rsidR="003F3E6B" w:rsidRDefault="00030FD8" w:rsidP="009A74DF">
      <w:pPr>
        <w:spacing w:after="0" w:line="240" w:lineRule="auto"/>
        <w:ind w:left="66"/>
        <w:jc w:val="both"/>
        <w:rPr>
          <w:rFonts w:ascii="Times New Roman" w:hAnsi="Times New Roman" w:cs="Times New Roman"/>
          <w:sz w:val="24"/>
          <w:szCs w:val="24"/>
        </w:rPr>
      </w:pPr>
      <w:proofErr w:type="gramStart"/>
      <w:r>
        <w:rPr>
          <w:rFonts w:ascii="Times New Roman" w:hAnsi="Times New Roman" w:cs="Times New Roman"/>
          <w:sz w:val="24"/>
          <w:szCs w:val="24"/>
        </w:rPr>
        <w:t>In particular, w</w:t>
      </w:r>
      <w:r w:rsidR="006E2486">
        <w:rPr>
          <w:rFonts w:ascii="Times New Roman" w:hAnsi="Times New Roman" w:cs="Times New Roman"/>
          <w:sz w:val="24"/>
          <w:szCs w:val="24"/>
        </w:rPr>
        <w:t>hile</w:t>
      </w:r>
      <w:proofErr w:type="gramEnd"/>
      <w:r w:rsidR="006E2486">
        <w:rPr>
          <w:rFonts w:ascii="Times New Roman" w:hAnsi="Times New Roman" w:cs="Times New Roman"/>
          <w:sz w:val="24"/>
          <w:szCs w:val="24"/>
        </w:rPr>
        <w:t xml:space="preserve"> the notion of </w:t>
      </w:r>
      <w:r w:rsidR="00E3496B">
        <w:rPr>
          <w:rFonts w:ascii="Times New Roman" w:hAnsi="Times New Roman" w:cs="Times New Roman"/>
          <w:sz w:val="24"/>
          <w:szCs w:val="24"/>
        </w:rPr>
        <w:t xml:space="preserve">a </w:t>
      </w:r>
      <w:r w:rsidR="006E2486">
        <w:rPr>
          <w:rFonts w:ascii="Times New Roman" w:hAnsi="Times New Roman" w:cs="Times New Roman"/>
          <w:sz w:val="24"/>
          <w:szCs w:val="24"/>
        </w:rPr>
        <w:t>database does not seem to be problematic</w:t>
      </w:r>
      <w:r w:rsidR="00AD673D">
        <w:rPr>
          <w:rFonts w:ascii="Times New Roman" w:hAnsi="Times New Roman" w:cs="Times New Roman"/>
          <w:sz w:val="24"/>
          <w:szCs w:val="24"/>
        </w:rPr>
        <w:t>,</w:t>
      </w:r>
      <w:r w:rsidR="009A74DF">
        <w:rPr>
          <w:rFonts w:ascii="Times New Roman" w:hAnsi="Times New Roman" w:cs="Times New Roman"/>
          <w:sz w:val="24"/>
          <w:szCs w:val="24"/>
        </w:rPr>
        <w:t xml:space="preserve"> </w:t>
      </w:r>
      <w:r w:rsidR="00E3496B">
        <w:rPr>
          <w:rFonts w:ascii="Times New Roman" w:hAnsi="Times New Roman" w:cs="Times New Roman"/>
          <w:sz w:val="24"/>
          <w:szCs w:val="24"/>
        </w:rPr>
        <w:t xml:space="preserve">there are </w:t>
      </w:r>
      <w:r w:rsidR="009A74DF">
        <w:rPr>
          <w:rFonts w:ascii="Times New Roman" w:hAnsi="Times New Roman" w:cs="Times New Roman"/>
          <w:sz w:val="24"/>
          <w:szCs w:val="24"/>
        </w:rPr>
        <w:t>concerns relat</w:t>
      </w:r>
      <w:r w:rsidR="00E3496B">
        <w:rPr>
          <w:rFonts w:ascii="Times New Roman" w:hAnsi="Times New Roman" w:cs="Times New Roman"/>
          <w:sz w:val="24"/>
          <w:szCs w:val="24"/>
        </w:rPr>
        <w:t>ing</w:t>
      </w:r>
      <w:r w:rsidR="009A74DF">
        <w:rPr>
          <w:rFonts w:ascii="Times New Roman" w:hAnsi="Times New Roman" w:cs="Times New Roman"/>
          <w:sz w:val="24"/>
          <w:szCs w:val="24"/>
        </w:rPr>
        <w:t xml:space="preserve"> to the substantial investment in obtaining, ve</w:t>
      </w:r>
      <w:r w:rsidR="006B6FB4">
        <w:rPr>
          <w:rFonts w:ascii="Times New Roman" w:hAnsi="Times New Roman" w:cs="Times New Roman"/>
          <w:sz w:val="24"/>
          <w:szCs w:val="24"/>
        </w:rPr>
        <w:t>rifying or presenting required by</w:t>
      </w:r>
      <w:r w:rsidR="009A74DF">
        <w:rPr>
          <w:rFonts w:ascii="Times New Roman" w:hAnsi="Times New Roman" w:cs="Times New Roman"/>
          <w:sz w:val="24"/>
          <w:szCs w:val="24"/>
        </w:rPr>
        <w:t xml:space="preserve"> </w:t>
      </w:r>
      <w:r w:rsidR="004A54AB">
        <w:rPr>
          <w:rFonts w:ascii="Times New Roman" w:hAnsi="Times New Roman" w:cs="Times New Roman"/>
          <w:sz w:val="24"/>
          <w:szCs w:val="24"/>
        </w:rPr>
        <w:t>A</w:t>
      </w:r>
      <w:r w:rsidR="009A74DF">
        <w:rPr>
          <w:rFonts w:ascii="Times New Roman" w:hAnsi="Times New Roman" w:cs="Times New Roman"/>
          <w:sz w:val="24"/>
          <w:szCs w:val="24"/>
        </w:rPr>
        <w:t xml:space="preserve">rticle 7 of the Directive. </w:t>
      </w:r>
      <w:r w:rsidR="00E250B8">
        <w:rPr>
          <w:rFonts w:ascii="Times New Roman" w:hAnsi="Times New Roman" w:cs="Times New Roman"/>
          <w:sz w:val="24"/>
          <w:szCs w:val="24"/>
        </w:rPr>
        <w:t>These</w:t>
      </w:r>
      <w:r w:rsidR="009A74DF">
        <w:rPr>
          <w:rFonts w:ascii="Times New Roman" w:hAnsi="Times New Roman" w:cs="Times New Roman"/>
          <w:sz w:val="24"/>
          <w:szCs w:val="24"/>
        </w:rPr>
        <w:t xml:space="preserve"> concerns </w:t>
      </w:r>
      <w:r w:rsidR="00E3496B">
        <w:rPr>
          <w:rFonts w:ascii="Times New Roman" w:hAnsi="Times New Roman" w:cs="Times New Roman"/>
          <w:sz w:val="24"/>
          <w:szCs w:val="24"/>
        </w:rPr>
        <w:t xml:space="preserve">relate </w:t>
      </w:r>
      <w:r w:rsidR="009A74DF">
        <w:rPr>
          <w:rFonts w:ascii="Times New Roman" w:hAnsi="Times New Roman" w:cs="Times New Roman"/>
          <w:sz w:val="24"/>
          <w:szCs w:val="24"/>
        </w:rPr>
        <w:t xml:space="preserve">mainly </w:t>
      </w:r>
      <w:r w:rsidR="00E3496B">
        <w:rPr>
          <w:rFonts w:ascii="Times New Roman" w:hAnsi="Times New Roman" w:cs="Times New Roman"/>
          <w:sz w:val="24"/>
          <w:szCs w:val="24"/>
        </w:rPr>
        <w:t>to</w:t>
      </w:r>
      <w:r w:rsidR="009A74DF">
        <w:rPr>
          <w:rFonts w:ascii="Times New Roman" w:hAnsi="Times New Roman" w:cs="Times New Roman"/>
          <w:sz w:val="24"/>
          <w:szCs w:val="24"/>
        </w:rPr>
        <w:t xml:space="preserve"> the narrow scope of application of the protection at issue</w:t>
      </w:r>
      <w:r w:rsidR="00E3496B">
        <w:rPr>
          <w:rFonts w:ascii="Times New Roman" w:hAnsi="Times New Roman" w:cs="Times New Roman"/>
          <w:sz w:val="24"/>
          <w:szCs w:val="24"/>
        </w:rPr>
        <w:t xml:space="preserve">, determined by </w:t>
      </w:r>
      <w:r w:rsidR="009A74DF">
        <w:rPr>
          <w:rFonts w:ascii="Times New Roman" w:hAnsi="Times New Roman" w:cs="Times New Roman"/>
          <w:sz w:val="24"/>
          <w:szCs w:val="24"/>
        </w:rPr>
        <w:t>CJEU judgements</w:t>
      </w:r>
      <w:r w:rsidR="00E3496B">
        <w:rPr>
          <w:rFonts w:ascii="Times New Roman" w:hAnsi="Times New Roman" w:cs="Times New Roman"/>
          <w:sz w:val="24"/>
          <w:szCs w:val="24"/>
        </w:rPr>
        <w:t xml:space="preserve"> handed down in 2004,</w:t>
      </w:r>
      <w:r w:rsidR="009A74DF">
        <w:rPr>
          <w:rStyle w:val="FootnoteReference"/>
          <w:rFonts w:ascii="Times New Roman" w:hAnsi="Times New Roman" w:cs="Times New Roman"/>
          <w:sz w:val="24"/>
          <w:szCs w:val="24"/>
        </w:rPr>
        <w:footnoteReference w:id="8"/>
      </w:r>
      <w:r w:rsidR="00682397">
        <w:rPr>
          <w:rFonts w:ascii="Times New Roman" w:hAnsi="Times New Roman" w:cs="Times New Roman"/>
          <w:sz w:val="24"/>
          <w:szCs w:val="24"/>
        </w:rPr>
        <w:t xml:space="preserve"> which </w:t>
      </w:r>
      <w:r w:rsidR="00E3496B">
        <w:rPr>
          <w:rFonts w:ascii="Times New Roman" w:hAnsi="Times New Roman" w:cs="Times New Roman"/>
          <w:sz w:val="24"/>
          <w:szCs w:val="24"/>
        </w:rPr>
        <w:t xml:space="preserve">nullified </w:t>
      </w:r>
      <w:r w:rsidR="00682397">
        <w:rPr>
          <w:rFonts w:ascii="Times New Roman" w:hAnsi="Times New Roman" w:cs="Times New Roman"/>
          <w:sz w:val="24"/>
          <w:szCs w:val="24"/>
        </w:rPr>
        <w:t xml:space="preserve">the relevance of the investment </w:t>
      </w:r>
      <w:r w:rsidR="00E3496B">
        <w:rPr>
          <w:rFonts w:ascii="Times New Roman" w:hAnsi="Times New Roman" w:cs="Times New Roman"/>
          <w:sz w:val="24"/>
          <w:szCs w:val="24"/>
        </w:rPr>
        <w:t xml:space="preserve">involved in creating </w:t>
      </w:r>
      <w:r w:rsidR="00682397">
        <w:rPr>
          <w:rFonts w:ascii="Times New Roman" w:hAnsi="Times New Roman" w:cs="Times New Roman"/>
          <w:sz w:val="24"/>
          <w:szCs w:val="24"/>
        </w:rPr>
        <w:t xml:space="preserve">the data collected in </w:t>
      </w:r>
      <w:r w:rsidR="00E3496B">
        <w:rPr>
          <w:rFonts w:ascii="Times New Roman" w:hAnsi="Times New Roman" w:cs="Times New Roman"/>
          <w:sz w:val="24"/>
          <w:szCs w:val="24"/>
        </w:rPr>
        <w:t>a</w:t>
      </w:r>
      <w:r w:rsidR="00682397">
        <w:rPr>
          <w:rFonts w:ascii="Times New Roman" w:hAnsi="Times New Roman" w:cs="Times New Roman"/>
          <w:sz w:val="24"/>
          <w:szCs w:val="24"/>
        </w:rPr>
        <w:t xml:space="preserve"> database</w:t>
      </w:r>
      <w:r w:rsidR="00DC7A09">
        <w:rPr>
          <w:rFonts w:ascii="Times New Roman" w:hAnsi="Times New Roman" w:cs="Times New Roman"/>
          <w:sz w:val="24"/>
          <w:szCs w:val="24"/>
        </w:rPr>
        <w:t>.</w:t>
      </w:r>
    </w:p>
    <w:p w14:paraId="3397266D" w14:textId="77777777" w:rsidR="003F3E6B" w:rsidRDefault="003F3E6B" w:rsidP="009A74DF">
      <w:pPr>
        <w:spacing w:after="0" w:line="240" w:lineRule="auto"/>
        <w:ind w:left="66"/>
        <w:jc w:val="both"/>
        <w:rPr>
          <w:rFonts w:ascii="Times New Roman" w:hAnsi="Times New Roman" w:cs="Times New Roman"/>
          <w:sz w:val="24"/>
          <w:szCs w:val="24"/>
        </w:rPr>
      </w:pPr>
    </w:p>
    <w:p w14:paraId="58B61C66" w14:textId="3B121221" w:rsidR="003B2C5C" w:rsidRPr="004C4393" w:rsidRDefault="00DB2E81" w:rsidP="009A74DF">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F</w:t>
      </w:r>
      <w:r w:rsidR="00A62281">
        <w:rPr>
          <w:rFonts w:ascii="Times New Roman" w:hAnsi="Times New Roman" w:cs="Times New Roman"/>
          <w:sz w:val="24"/>
          <w:szCs w:val="24"/>
        </w:rPr>
        <w:t>inal</w:t>
      </w:r>
      <w:r>
        <w:rPr>
          <w:rFonts w:ascii="Times New Roman" w:hAnsi="Times New Roman" w:cs="Times New Roman"/>
          <w:sz w:val="24"/>
          <w:szCs w:val="24"/>
        </w:rPr>
        <w:t xml:space="preserve">ly, </w:t>
      </w:r>
      <w:r w:rsidR="004707EB">
        <w:rPr>
          <w:rFonts w:ascii="Times New Roman" w:hAnsi="Times New Roman" w:cs="Times New Roman"/>
          <w:sz w:val="24"/>
          <w:szCs w:val="24"/>
        </w:rPr>
        <w:t>considering the possible contractual protection of databases that do not meet these requirements</w:t>
      </w:r>
      <w:r w:rsidR="00E3496B">
        <w:rPr>
          <w:rFonts w:ascii="Times New Roman" w:hAnsi="Times New Roman" w:cs="Times New Roman"/>
          <w:sz w:val="24"/>
          <w:szCs w:val="24"/>
        </w:rPr>
        <w:t xml:space="preserve"> (considerably strengthened by the CJEU)</w:t>
      </w:r>
      <w:r w:rsidR="004A54AB">
        <w:rPr>
          <w:rFonts w:ascii="Times New Roman" w:hAnsi="Times New Roman" w:cs="Times New Roman"/>
          <w:sz w:val="24"/>
          <w:szCs w:val="24"/>
        </w:rPr>
        <w:t>,</w:t>
      </w:r>
      <w:r w:rsidR="00DC7A09">
        <w:rPr>
          <w:rFonts w:ascii="Times New Roman" w:hAnsi="Times New Roman" w:cs="Times New Roman"/>
          <w:sz w:val="24"/>
          <w:szCs w:val="24"/>
        </w:rPr>
        <w:t xml:space="preserve"> </w:t>
      </w:r>
      <w:r w:rsidR="004A54AB">
        <w:rPr>
          <w:rFonts w:ascii="Times New Roman" w:hAnsi="Times New Roman" w:cs="Times New Roman"/>
          <w:sz w:val="24"/>
          <w:szCs w:val="24"/>
        </w:rPr>
        <w:t>legal changes</w:t>
      </w:r>
      <w:r>
        <w:rPr>
          <w:rFonts w:ascii="Times New Roman" w:hAnsi="Times New Roman" w:cs="Times New Roman"/>
          <w:sz w:val="24"/>
          <w:szCs w:val="24"/>
        </w:rPr>
        <w:t xml:space="preserve"> will be proposed</w:t>
      </w:r>
      <w:r w:rsidR="00E3496B">
        <w:rPr>
          <w:rFonts w:ascii="Times New Roman" w:hAnsi="Times New Roman" w:cs="Times New Roman"/>
          <w:sz w:val="24"/>
          <w:szCs w:val="24"/>
        </w:rPr>
        <w:t xml:space="preserve"> as policy recommendations</w:t>
      </w:r>
      <w:r w:rsidR="00DC7A09">
        <w:rPr>
          <w:rFonts w:ascii="Times New Roman" w:hAnsi="Times New Roman" w:cs="Times New Roman"/>
          <w:sz w:val="24"/>
          <w:szCs w:val="24"/>
        </w:rPr>
        <w:t xml:space="preserve">.   </w:t>
      </w:r>
      <w:r w:rsidR="00AD673D">
        <w:rPr>
          <w:rFonts w:ascii="Times New Roman" w:hAnsi="Times New Roman" w:cs="Times New Roman"/>
          <w:sz w:val="24"/>
          <w:szCs w:val="24"/>
        </w:rPr>
        <w:t xml:space="preserve"> </w:t>
      </w:r>
      <w:r w:rsidR="003D7667">
        <w:rPr>
          <w:rFonts w:ascii="Times New Roman" w:hAnsi="Times New Roman" w:cs="Times New Roman"/>
          <w:sz w:val="24"/>
          <w:szCs w:val="24"/>
        </w:rPr>
        <w:t xml:space="preserve"> </w:t>
      </w:r>
    </w:p>
    <w:p w14:paraId="222F156E" w14:textId="77777777" w:rsidR="003B2C5C" w:rsidRPr="006F2378" w:rsidRDefault="003B2C5C" w:rsidP="006F2378">
      <w:pPr>
        <w:spacing w:after="0" w:line="240" w:lineRule="auto"/>
        <w:jc w:val="both"/>
        <w:rPr>
          <w:rFonts w:ascii="Times New Roman" w:hAnsi="Times New Roman" w:cs="Times New Roman"/>
          <w:b/>
          <w:sz w:val="24"/>
          <w:szCs w:val="24"/>
        </w:rPr>
      </w:pPr>
    </w:p>
    <w:p w14:paraId="0355E5B8" w14:textId="352895AC" w:rsidR="00860F04" w:rsidRDefault="004A54AB" w:rsidP="00571899">
      <w:pPr>
        <w:pStyle w:val="Titoloperindice"/>
        <w:numPr>
          <w:ilvl w:val="0"/>
          <w:numId w:val="2"/>
        </w:numPr>
      </w:pPr>
      <w:r>
        <w:lastRenderedPageBreak/>
        <w:t>Core AI-related concepts and t</w:t>
      </w:r>
      <w:r w:rsidR="00860F04">
        <w:t>he importance of AI-generated databases within the EU framework</w:t>
      </w:r>
    </w:p>
    <w:p w14:paraId="115A85A2" w14:textId="77777777" w:rsidR="00847E52" w:rsidRDefault="00847E52" w:rsidP="00847E52">
      <w:pPr>
        <w:spacing w:after="0" w:line="240" w:lineRule="auto"/>
        <w:ind w:left="66"/>
        <w:jc w:val="both"/>
        <w:rPr>
          <w:rFonts w:ascii="Times New Roman" w:hAnsi="Times New Roman" w:cs="Times New Roman"/>
          <w:sz w:val="24"/>
          <w:szCs w:val="24"/>
        </w:rPr>
      </w:pPr>
    </w:p>
    <w:p w14:paraId="272DE134" w14:textId="47F10009" w:rsidR="00B868A0" w:rsidRDefault="00F1539F" w:rsidP="00B868A0">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Before examining the requi</w:t>
      </w:r>
      <w:r w:rsidR="00E250B8">
        <w:rPr>
          <w:rFonts w:ascii="Times New Roman" w:hAnsi="Times New Roman" w:cs="Times New Roman"/>
          <w:sz w:val="24"/>
          <w:szCs w:val="24"/>
        </w:rPr>
        <w:t>rements</w:t>
      </w:r>
      <w:r>
        <w:rPr>
          <w:rFonts w:ascii="Times New Roman" w:hAnsi="Times New Roman" w:cs="Times New Roman"/>
          <w:sz w:val="24"/>
          <w:szCs w:val="24"/>
        </w:rPr>
        <w:t xml:space="preserve"> </w:t>
      </w:r>
      <w:r w:rsidR="00CA73B0">
        <w:rPr>
          <w:rFonts w:ascii="Times New Roman" w:hAnsi="Times New Roman" w:cs="Times New Roman"/>
          <w:sz w:val="24"/>
          <w:szCs w:val="24"/>
        </w:rPr>
        <w:t>of</w:t>
      </w:r>
      <w:r>
        <w:rPr>
          <w:rFonts w:ascii="Times New Roman" w:hAnsi="Times New Roman" w:cs="Times New Roman"/>
          <w:sz w:val="24"/>
          <w:szCs w:val="24"/>
        </w:rPr>
        <w:t xml:space="preserve"> </w:t>
      </w:r>
      <w:r w:rsidR="004A54AB">
        <w:rPr>
          <w:rFonts w:ascii="Times New Roman" w:hAnsi="Times New Roman" w:cs="Times New Roman"/>
          <w:sz w:val="24"/>
          <w:szCs w:val="24"/>
        </w:rPr>
        <w:t>A</w:t>
      </w:r>
      <w:r>
        <w:rPr>
          <w:rFonts w:ascii="Times New Roman" w:hAnsi="Times New Roman" w:cs="Times New Roman"/>
          <w:sz w:val="24"/>
          <w:szCs w:val="24"/>
        </w:rPr>
        <w:t xml:space="preserve">rticle 7 of the Database Directive, it </w:t>
      </w:r>
      <w:r w:rsidR="006F7E67">
        <w:rPr>
          <w:rFonts w:ascii="Times New Roman" w:hAnsi="Times New Roman" w:cs="Times New Roman"/>
          <w:sz w:val="24"/>
          <w:szCs w:val="24"/>
        </w:rPr>
        <w:t xml:space="preserve">may be useful </w:t>
      </w:r>
      <w:r>
        <w:rPr>
          <w:rFonts w:ascii="Times New Roman" w:hAnsi="Times New Roman" w:cs="Times New Roman"/>
          <w:sz w:val="24"/>
          <w:szCs w:val="24"/>
        </w:rPr>
        <w:t xml:space="preserve">to </w:t>
      </w:r>
      <w:r w:rsidR="00CA73B0">
        <w:rPr>
          <w:rFonts w:ascii="Times New Roman" w:hAnsi="Times New Roman" w:cs="Times New Roman"/>
          <w:sz w:val="24"/>
          <w:szCs w:val="24"/>
        </w:rPr>
        <w:t xml:space="preserve">say a </w:t>
      </w:r>
      <w:r>
        <w:rPr>
          <w:rFonts w:ascii="Times New Roman" w:hAnsi="Times New Roman" w:cs="Times New Roman"/>
          <w:sz w:val="24"/>
          <w:szCs w:val="24"/>
        </w:rPr>
        <w:t xml:space="preserve">few words </w:t>
      </w:r>
      <w:r w:rsidR="00CA73B0">
        <w:rPr>
          <w:rFonts w:ascii="Times New Roman" w:hAnsi="Times New Roman" w:cs="Times New Roman"/>
          <w:sz w:val="24"/>
          <w:szCs w:val="24"/>
        </w:rPr>
        <w:t>about</w:t>
      </w:r>
      <w:r w:rsidR="00B868A0">
        <w:rPr>
          <w:rFonts w:ascii="Times New Roman" w:hAnsi="Times New Roman" w:cs="Times New Roman"/>
          <w:sz w:val="24"/>
          <w:szCs w:val="24"/>
        </w:rPr>
        <w:t xml:space="preserve"> the</w:t>
      </w:r>
      <w:r w:rsidR="00E250B8">
        <w:rPr>
          <w:rFonts w:ascii="Times New Roman" w:hAnsi="Times New Roman" w:cs="Times New Roman"/>
          <w:sz w:val="24"/>
          <w:szCs w:val="24"/>
        </w:rPr>
        <w:t xml:space="preserve"> importance of</w:t>
      </w:r>
      <w:r w:rsidR="00B868A0">
        <w:rPr>
          <w:rFonts w:ascii="Times New Roman" w:hAnsi="Times New Roman" w:cs="Times New Roman"/>
          <w:sz w:val="24"/>
          <w:szCs w:val="24"/>
        </w:rPr>
        <w:t xml:space="preserve"> AI and</w:t>
      </w:r>
      <w:r>
        <w:rPr>
          <w:rFonts w:ascii="Times New Roman" w:hAnsi="Times New Roman" w:cs="Times New Roman"/>
          <w:sz w:val="24"/>
          <w:szCs w:val="24"/>
        </w:rPr>
        <w:t xml:space="preserve"> possible applications of AI</w:t>
      </w:r>
      <w:r w:rsidR="00213935">
        <w:rPr>
          <w:rFonts w:ascii="Times New Roman" w:hAnsi="Times New Roman" w:cs="Times New Roman"/>
          <w:sz w:val="24"/>
          <w:szCs w:val="24"/>
        </w:rPr>
        <w:t>-</w:t>
      </w:r>
      <w:r>
        <w:rPr>
          <w:rFonts w:ascii="Times New Roman" w:hAnsi="Times New Roman" w:cs="Times New Roman"/>
          <w:sz w:val="24"/>
          <w:szCs w:val="24"/>
        </w:rPr>
        <w:t>generated databases.</w:t>
      </w:r>
    </w:p>
    <w:p w14:paraId="48A9F1BF" w14:textId="77777777" w:rsidR="003F3E6B" w:rsidRDefault="003F3E6B" w:rsidP="00B868A0">
      <w:pPr>
        <w:spacing w:after="0" w:line="240" w:lineRule="auto"/>
        <w:ind w:left="66"/>
        <w:jc w:val="both"/>
        <w:rPr>
          <w:rFonts w:ascii="Times New Roman" w:hAnsi="Times New Roman" w:cs="Times New Roman"/>
          <w:sz w:val="24"/>
          <w:szCs w:val="24"/>
        </w:rPr>
      </w:pPr>
    </w:p>
    <w:p w14:paraId="7E4C2C57" w14:textId="7360A8FE" w:rsidR="00B868A0" w:rsidRDefault="00B868A0" w:rsidP="00A733CA">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The term </w:t>
      </w:r>
      <w:r w:rsidR="00CA73B0">
        <w:rPr>
          <w:rFonts w:ascii="Times New Roman" w:hAnsi="Times New Roman" w:cs="Times New Roman"/>
          <w:sz w:val="24"/>
          <w:szCs w:val="24"/>
        </w:rPr>
        <w:t>“</w:t>
      </w:r>
      <w:r w:rsidRPr="00632C21">
        <w:rPr>
          <w:rFonts w:ascii="Times New Roman" w:hAnsi="Times New Roman" w:cs="Times New Roman"/>
          <w:iCs/>
          <w:sz w:val="24"/>
          <w:szCs w:val="24"/>
        </w:rPr>
        <w:t>Artificial Intelligence</w:t>
      </w:r>
      <w:r w:rsidR="00CA73B0">
        <w:rPr>
          <w:rFonts w:ascii="Times New Roman" w:hAnsi="Times New Roman" w:cs="Times New Roman"/>
          <w:iCs/>
          <w:sz w:val="24"/>
          <w:szCs w:val="24"/>
        </w:rPr>
        <w:t>”</w:t>
      </w:r>
      <w:r>
        <w:rPr>
          <w:rFonts w:ascii="Times New Roman" w:hAnsi="Times New Roman" w:cs="Times New Roman"/>
          <w:sz w:val="24"/>
          <w:szCs w:val="24"/>
        </w:rPr>
        <w:t xml:space="preserve"> was coined in the 1955 by John McCarthy</w:t>
      </w:r>
      <w:r w:rsidR="006F7E67">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according to </w:t>
      </w:r>
      <w:r w:rsidR="006F7E67">
        <w:rPr>
          <w:rFonts w:ascii="Times New Roman" w:hAnsi="Times New Roman" w:cs="Times New Roman"/>
          <w:sz w:val="24"/>
          <w:szCs w:val="24"/>
        </w:rPr>
        <w:t xml:space="preserve">whom </w:t>
      </w:r>
      <w:r>
        <w:rPr>
          <w:rFonts w:ascii="Times New Roman" w:hAnsi="Times New Roman" w:cs="Times New Roman"/>
          <w:sz w:val="24"/>
          <w:szCs w:val="24"/>
        </w:rPr>
        <w:t xml:space="preserve">it means </w:t>
      </w:r>
      <w:r w:rsidR="00CA73B0">
        <w:rPr>
          <w:rFonts w:ascii="Times New Roman" w:hAnsi="Times New Roman" w:cs="Times New Roman"/>
          <w:sz w:val="24"/>
          <w:szCs w:val="24"/>
        </w:rPr>
        <w:t>“</w:t>
      </w:r>
      <w:r>
        <w:rPr>
          <w:rFonts w:ascii="Times New Roman" w:hAnsi="Times New Roman" w:cs="Times New Roman"/>
          <w:i/>
          <w:sz w:val="24"/>
          <w:szCs w:val="24"/>
        </w:rPr>
        <w:t>the science and engineering of making intelligent machines, especially intelligent computer programs</w:t>
      </w:r>
      <w:r w:rsidR="00A733CA">
        <w:rPr>
          <w:rFonts w:ascii="Times New Roman" w:hAnsi="Times New Roman" w:cs="Times New Roman"/>
          <w:i/>
          <w:sz w:val="24"/>
          <w:szCs w:val="24"/>
        </w:rPr>
        <w:t xml:space="preserve">. </w:t>
      </w:r>
      <w:r w:rsidR="00A733CA" w:rsidRPr="00A733CA">
        <w:rPr>
          <w:rFonts w:ascii="Times New Roman" w:hAnsi="Times New Roman" w:cs="Times New Roman"/>
          <w:i/>
          <w:sz w:val="24"/>
          <w:szCs w:val="24"/>
        </w:rPr>
        <w:t>It is related to the similar task of</w:t>
      </w:r>
      <w:r w:rsidR="00A733CA">
        <w:rPr>
          <w:rFonts w:ascii="Times New Roman" w:hAnsi="Times New Roman" w:cs="Times New Roman"/>
          <w:i/>
          <w:sz w:val="24"/>
          <w:szCs w:val="24"/>
        </w:rPr>
        <w:t xml:space="preserve"> </w:t>
      </w:r>
      <w:r w:rsidR="00A733CA" w:rsidRPr="00A733CA">
        <w:rPr>
          <w:rFonts w:ascii="Times New Roman" w:hAnsi="Times New Roman" w:cs="Times New Roman"/>
          <w:i/>
          <w:sz w:val="24"/>
          <w:szCs w:val="24"/>
        </w:rPr>
        <w:t>using computers to understand human intelligence, but AI does not have to</w:t>
      </w:r>
      <w:r w:rsidR="00A733CA">
        <w:rPr>
          <w:rFonts w:ascii="Times New Roman" w:hAnsi="Times New Roman" w:cs="Times New Roman"/>
          <w:i/>
          <w:sz w:val="24"/>
          <w:szCs w:val="24"/>
        </w:rPr>
        <w:t xml:space="preserve"> </w:t>
      </w:r>
      <w:r w:rsidR="00A733CA" w:rsidRPr="00A733CA">
        <w:rPr>
          <w:rFonts w:ascii="Times New Roman" w:hAnsi="Times New Roman" w:cs="Times New Roman"/>
          <w:i/>
          <w:sz w:val="24"/>
          <w:szCs w:val="24"/>
        </w:rPr>
        <w:t>confine itself to methods that are biologically observable</w:t>
      </w:r>
      <w:r w:rsidR="00CA73B0">
        <w:rPr>
          <w:rFonts w:ascii="Times New Roman" w:hAnsi="Times New Roman" w:cs="Times New Roman"/>
          <w:i/>
          <w:sz w:val="24"/>
          <w:szCs w:val="24"/>
        </w:rPr>
        <w:t>”.</w:t>
      </w:r>
      <w:r>
        <w:rPr>
          <w:rStyle w:val="FootnoteReference"/>
          <w:rFonts w:ascii="Times New Roman" w:hAnsi="Times New Roman" w:cs="Times New Roman"/>
          <w:sz w:val="24"/>
          <w:szCs w:val="24"/>
        </w:rPr>
        <w:footnoteReference w:id="10"/>
      </w:r>
      <w:r w:rsidR="00427F12">
        <w:rPr>
          <w:rFonts w:ascii="Times New Roman" w:hAnsi="Times New Roman" w:cs="Times New Roman"/>
          <w:sz w:val="24"/>
          <w:szCs w:val="24"/>
        </w:rPr>
        <w:t xml:space="preserve"> </w:t>
      </w:r>
      <w:r w:rsidR="00CA73B0">
        <w:rPr>
          <w:rFonts w:ascii="Times New Roman" w:hAnsi="Times New Roman" w:cs="Times New Roman"/>
          <w:sz w:val="24"/>
          <w:szCs w:val="24"/>
        </w:rPr>
        <w:t>O</w:t>
      </w:r>
      <w:r w:rsidR="003F5300">
        <w:rPr>
          <w:rFonts w:ascii="Times New Roman" w:hAnsi="Times New Roman" w:cs="Times New Roman"/>
          <w:sz w:val="24"/>
          <w:szCs w:val="24"/>
        </w:rPr>
        <w:t>ne of the clearest</w:t>
      </w:r>
      <w:r w:rsidR="00427F12">
        <w:rPr>
          <w:rFonts w:ascii="Times New Roman" w:hAnsi="Times New Roman" w:cs="Times New Roman"/>
          <w:sz w:val="24"/>
          <w:szCs w:val="24"/>
        </w:rPr>
        <w:t xml:space="preserve"> </w:t>
      </w:r>
      <w:r w:rsidR="00CA73B0">
        <w:rPr>
          <w:rFonts w:ascii="Times New Roman" w:hAnsi="Times New Roman" w:cs="Times New Roman"/>
          <w:sz w:val="24"/>
          <w:szCs w:val="24"/>
        </w:rPr>
        <w:t xml:space="preserve">current </w:t>
      </w:r>
      <w:r w:rsidR="00427F12">
        <w:rPr>
          <w:rFonts w:ascii="Times New Roman" w:hAnsi="Times New Roman" w:cs="Times New Roman"/>
          <w:sz w:val="24"/>
          <w:szCs w:val="24"/>
        </w:rPr>
        <w:t xml:space="preserve">definitions </w:t>
      </w:r>
      <w:r w:rsidR="00CA73B0">
        <w:rPr>
          <w:rFonts w:ascii="Times New Roman" w:hAnsi="Times New Roman" w:cs="Times New Roman"/>
          <w:sz w:val="24"/>
          <w:szCs w:val="24"/>
        </w:rPr>
        <w:t xml:space="preserve">of AI </w:t>
      </w:r>
      <w:r w:rsidR="00427F12">
        <w:rPr>
          <w:rFonts w:ascii="Times New Roman" w:hAnsi="Times New Roman" w:cs="Times New Roman"/>
          <w:sz w:val="24"/>
          <w:szCs w:val="24"/>
        </w:rPr>
        <w:t xml:space="preserve">is provided by </w:t>
      </w:r>
      <w:r w:rsidR="00CA73B0">
        <w:rPr>
          <w:rFonts w:ascii="Times New Roman" w:hAnsi="Times New Roman" w:cs="Times New Roman"/>
          <w:sz w:val="24"/>
          <w:szCs w:val="24"/>
        </w:rPr>
        <w:t xml:space="preserve">the </w:t>
      </w:r>
      <w:r w:rsidR="00427F12">
        <w:rPr>
          <w:rFonts w:ascii="Times New Roman" w:hAnsi="Times New Roman" w:cs="Times New Roman"/>
          <w:sz w:val="24"/>
          <w:szCs w:val="24"/>
        </w:rPr>
        <w:t xml:space="preserve">ISO, </w:t>
      </w:r>
      <w:r w:rsidR="00CA73B0">
        <w:rPr>
          <w:rFonts w:ascii="Times New Roman" w:hAnsi="Times New Roman" w:cs="Times New Roman"/>
          <w:sz w:val="24"/>
          <w:szCs w:val="24"/>
        </w:rPr>
        <w:t>which defines it as “</w:t>
      </w:r>
      <w:r w:rsidR="00CA73B0">
        <w:rPr>
          <w:rFonts w:ascii="Times New Roman" w:hAnsi="Times New Roman" w:cs="Times New Roman"/>
          <w:i/>
          <w:sz w:val="24"/>
          <w:szCs w:val="24"/>
        </w:rPr>
        <w:t>t</w:t>
      </w:r>
      <w:r w:rsidR="00427F12" w:rsidRPr="006F2378">
        <w:rPr>
          <w:rFonts w:ascii="Times New Roman" w:hAnsi="Times New Roman" w:cs="Times New Roman"/>
          <w:i/>
          <w:sz w:val="24"/>
          <w:szCs w:val="24"/>
        </w:rPr>
        <w:t>he capability of a functional unit to perform functions that are generally associated with human intelligence such as reasoning and learning</w:t>
      </w:r>
      <w:r w:rsidR="006F7E67">
        <w:rPr>
          <w:rFonts w:ascii="Times New Roman" w:hAnsi="Times New Roman" w:cs="Times New Roman"/>
          <w:sz w:val="24"/>
          <w:szCs w:val="24"/>
        </w:rPr>
        <w:t>”</w:t>
      </w:r>
      <w:r w:rsidR="00427F12">
        <w:rPr>
          <w:rFonts w:ascii="Times New Roman" w:hAnsi="Times New Roman" w:cs="Times New Roman"/>
          <w:sz w:val="24"/>
          <w:szCs w:val="24"/>
        </w:rPr>
        <w:t>.</w:t>
      </w:r>
      <w:r w:rsidR="00427F12">
        <w:rPr>
          <w:rStyle w:val="FootnoteReference"/>
          <w:rFonts w:ascii="Times New Roman" w:hAnsi="Times New Roman" w:cs="Times New Roman"/>
          <w:sz w:val="24"/>
          <w:szCs w:val="24"/>
        </w:rPr>
        <w:footnoteReference w:id="11"/>
      </w:r>
    </w:p>
    <w:p w14:paraId="3AAC1789" w14:textId="77777777" w:rsidR="003F3E6B" w:rsidRDefault="003F3E6B" w:rsidP="00A733CA">
      <w:pPr>
        <w:spacing w:after="0" w:line="240" w:lineRule="auto"/>
        <w:ind w:left="66"/>
        <w:jc w:val="both"/>
        <w:rPr>
          <w:rFonts w:ascii="Times New Roman" w:hAnsi="Times New Roman" w:cs="Times New Roman"/>
          <w:sz w:val="24"/>
          <w:szCs w:val="24"/>
        </w:rPr>
      </w:pPr>
    </w:p>
    <w:p w14:paraId="5A719B1C" w14:textId="1DE7F4F6" w:rsidR="009628AA" w:rsidRDefault="00C93360" w:rsidP="009628AA">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Nowadays</w:t>
      </w:r>
      <w:r w:rsidR="006F7E67">
        <w:rPr>
          <w:rFonts w:ascii="Times New Roman" w:hAnsi="Times New Roman" w:cs="Times New Roman"/>
          <w:sz w:val="24"/>
          <w:szCs w:val="24"/>
        </w:rPr>
        <w:t xml:space="preserve">, a distinction is made </w:t>
      </w:r>
      <w:r w:rsidR="00EE2294">
        <w:rPr>
          <w:rFonts w:ascii="Times New Roman" w:hAnsi="Times New Roman" w:cs="Times New Roman"/>
          <w:sz w:val="24"/>
          <w:szCs w:val="24"/>
        </w:rPr>
        <w:t>between narrow AI, aimed</w:t>
      </w:r>
      <w:r>
        <w:rPr>
          <w:rFonts w:ascii="Times New Roman" w:hAnsi="Times New Roman" w:cs="Times New Roman"/>
          <w:sz w:val="24"/>
          <w:szCs w:val="24"/>
        </w:rPr>
        <w:t xml:space="preserve"> at developing software</w:t>
      </w:r>
      <w:r w:rsidR="00EE2294">
        <w:rPr>
          <w:rFonts w:ascii="Times New Roman" w:hAnsi="Times New Roman" w:cs="Times New Roman"/>
          <w:sz w:val="24"/>
          <w:szCs w:val="24"/>
        </w:rPr>
        <w:t xml:space="preserve"> </w:t>
      </w:r>
      <w:r w:rsidR="006F7E67">
        <w:rPr>
          <w:rFonts w:ascii="Times New Roman" w:hAnsi="Times New Roman" w:cs="Times New Roman"/>
          <w:sz w:val="24"/>
          <w:szCs w:val="24"/>
        </w:rPr>
        <w:t>“</w:t>
      </w:r>
      <w:r w:rsidR="00EE2294">
        <w:rPr>
          <w:rFonts w:ascii="Times New Roman" w:hAnsi="Times New Roman" w:cs="Times New Roman"/>
          <w:i/>
          <w:sz w:val="24"/>
          <w:szCs w:val="24"/>
        </w:rPr>
        <w:t>to solve limited practical problems</w:t>
      </w:r>
      <w:r w:rsidR="006F7E67">
        <w:rPr>
          <w:rFonts w:ascii="Times New Roman" w:hAnsi="Times New Roman" w:cs="Times New Roman"/>
          <w:sz w:val="24"/>
          <w:szCs w:val="24"/>
        </w:rPr>
        <w:t>”</w:t>
      </w:r>
      <w:r w:rsidR="008707F0">
        <w:rPr>
          <w:rFonts w:ascii="Times New Roman" w:hAnsi="Times New Roman" w:cs="Times New Roman"/>
          <w:sz w:val="24"/>
          <w:szCs w:val="24"/>
        </w:rPr>
        <w:t xml:space="preserve"> and</w:t>
      </w:r>
      <w:r w:rsidR="00406723">
        <w:rPr>
          <w:rFonts w:ascii="Times New Roman" w:hAnsi="Times New Roman" w:cs="Times New Roman"/>
          <w:sz w:val="24"/>
          <w:szCs w:val="24"/>
        </w:rPr>
        <w:t xml:space="preserve"> </w:t>
      </w:r>
      <w:r w:rsidR="008707F0">
        <w:rPr>
          <w:rFonts w:ascii="Times New Roman" w:hAnsi="Times New Roman" w:cs="Times New Roman"/>
          <w:sz w:val="24"/>
          <w:szCs w:val="24"/>
        </w:rPr>
        <w:t>strong AI</w:t>
      </w:r>
      <w:r w:rsidR="00632C21">
        <w:rPr>
          <w:rFonts w:ascii="Times New Roman" w:hAnsi="Times New Roman" w:cs="Times New Roman"/>
          <w:sz w:val="24"/>
          <w:szCs w:val="24"/>
        </w:rPr>
        <w:t xml:space="preserve"> (also known</w:t>
      </w:r>
      <w:r w:rsidR="008707F0">
        <w:rPr>
          <w:rFonts w:ascii="Times New Roman" w:hAnsi="Times New Roman" w:cs="Times New Roman"/>
          <w:sz w:val="24"/>
          <w:szCs w:val="24"/>
        </w:rPr>
        <w:t xml:space="preserve"> as Artificial General Intelligence – AGI)</w:t>
      </w:r>
      <w:r w:rsidR="006F7E67">
        <w:rPr>
          <w:rFonts w:ascii="Times New Roman" w:hAnsi="Times New Roman" w:cs="Times New Roman"/>
          <w:sz w:val="24"/>
          <w:szCs w:val="24"/>
        </w:rPr>
        <w:t>,</w:t>
      </w:r>
      <w:r w:rsidR="008707F0">
        <w:rPr>
          <w:rFonts w:ascii="Times New Roman" w:hAnsi="Times New Roman" w:cs="Times New Roman"/>
          <w:sz w:val="24"/>
          <w:szCs w:val="24"/>
        </w:rPr>
        <w:t xml:space="preserve"> which </w:t>
      </w:r>
      <w:r w:rsidR="006F7E67">
        <w:rPr>
          <w:rFonts w:ascii="Times New Roman" w:hAnsi="Times New Roman" w:cs="Times New Roman"/>
          <w:sz w:val="24"/>
          <w:szCs w:val="24"/>
        </w:rPr>
        <w:t>“</w:t>
      </w:r>
      <w:r w:rsidR="008707F0">
        <w:rPr>
          <w:rFonts w:ascii="Times New Roman" w:hAnsi="Times New Roman" w:cs="Times New Roman"/>
          <w:i/>
          <w:sz w:val="24"/>
          <w:szCs w:val="24"/>
        </w:rPr>
        <w:t>seeks to engineer human-level general intelligence based theoretical models</w:t>
      </w:r>
      <w:r w:rsidR="006F7E67">
        <w:rPr>
          <w:rFonts w:ascii="Times New Roman" w:hAnsi="Times New Roman" w:cs="Times New Roman"/>
          <w:sz w:val="24"/>
          <w:szCs w:val="24"/>
        </w:rPr>
        <w:t>”.</w:t>
      </w:r>
      <w:r w:rsidR="00EE2294">
        <w:rPr>
          <w:rStyle w:val="FootnoteReference"/>
          <w:rFonts w:ascii="Times New Roman" w:hAnsi="Times New Roman" w:cs="Times New Roman"/>
          <w:sz w:val="24"/>
          <w:szCs w:val="24"/>
        </w:rPr>
        <w:footnoteReference w:id="12"/>
      </w:r>
      <w:r w:rsidR="008707F0">
        <w:rPr>
          <w:rFonts w:ascii="Times New Roman" w:hAnsi="Times New Roman" w:cs="Times New Roman"/>
          <w:sz w:val="24"/>
          <w:szCs w:val="24"/>
        </w:rPr>
        <w:t xml:space="preserve"> At the current stage of development, even </w:t>
      </w:r>
      <w:r w:rsidR="006F7E67">
        <w:rPr>
          <w:rFonts w:ascii="Times New Roman" w:hAnsi="Times New Roman" w:cs="Times New Roman"/>
          <w:sz w:val="24"/>
          <w:szCs w:val="24"/>
        </w:rPr>
        <w:t xml:space="preserve">though </w:t>
      </w:r>
      <w:r w:rsidR="008707F0">
        <w:rPr>
          <w:rFonts w:ascii="Times New Roman" w:hAnsi="Times New Roman" w:cs="Times New Roman"/>
          <w:sz w:val="24"/>
          <w:szCs w:val="24"/>
        </w:rPr>
        <w:t xml:space="preserve">AGI </w:t>
      </w:r>
      <w:r w:rsidR="006F7E67">
        <w:rPr>
          <w:rFonts w:ascii="Times New Roman" w:hAnsi="Times New Roman" w:cs="Times New Roman"/>
          <w:sz w:val="24"/>
          <w:szCs w:val="24"/>
        </w:rPr>
        <w:t xml:space="preserve">now </w:t>
      </w:r>
      <w:r w:rsidR="008707F0">
        <w:rPr>
          <w:rFonts w:ascii="Times New Roman" w:hAnsi="Times New Roman" w:cs="Times New Roman"/>
          <w:sz w:val="24"/>
          <w:szCs w:val="24"/>
        </w:rPr>
        <w:t>seems to be a</w:t>
      </w:r>
      <w:r w:rsidR="006F7E67">
        <w:rPr>
          <w:rFonts w:ascii="Times New Roman" w:hAnsi="Times New Roman" w:cs="Times New Roman"/>
          <w:sz w:val="24"/>
          <w:szCs w:val="24"/>
        </w:rPr>
        <w:t xml:space="preserve">n achievable </w:t>
      </w:r>
      <w:r w:rsidR="008707F0">
        <w:rPr>
          <w:rFonts w:ascii="Times New Roman" w:hAnsi="Times New Roman" w:cs="Times New Roman"/>
          <w:sz w:val="24"/>
          <w:szCs w:val="24"/>
        </w:rPr>
        <w:t>goal</w:t>
      </w:r>
      <w:r w:rsidR="006F7E67">
        <w:rPr>
          <w:rFonts w:ascii="Times New Roman" w:hAnsi="Times New Roman" w:cs="Times New Roman"/>
          <w:sz w:val="24"/>
          <w:szCs w:val="24"/>
        </w:rPr>
        <w:t>,</w:t>
      </w:r>
      <w:r w:rsidR="008707F0">
        <w:rPr>
          <w:rStyle w:val="FootnoteReference"/>
          <w:rFonts w:ascii="Times New Roman" w:hAnsi="Times New Roman" w:cs="Times New Roman"/>
          <w:sz w:val="24"/>
          <w:szCs w:val="24"/>
        </w:rPr>
        <w:footnoteReference w:id="13"/>
      </w:r>
      <w:r w:rsidR="00776B76">
        <w:rPr>
          <w:rFonts w:ascii="Times New Roman" w:hAnsi="Times New Roman" w:cs="Times New Roman"/>
          <w:sz w:val="24"/>
          <w:szCs w:val="24"/>
        </w:rPr>
        <w:t xml:space="preserve"> narrow AI is deemed to be </w:t>
      </w:r>
      <w:r w:rsidR="006F7E67">
        <w:rPr>
          <w:rFonts w:ascii="Times New Roman" w:hAnsi="Times New Roman" w:cs="Times New Roman"/>
          <w:sz w:val="24"/>
          <w:szCs w:val="24"/>
        </w:rPr>
        <w:t>“</w:t>
      </w:r>
      <w:r w:rsidR="00776B76">
        <w:rPr>
          <w:rFonts w:ascii="Times New Roman" w:hAnsi="Times New Roman" w:cs="Times New Roman"/>
          <w:i/>
          <w:sz w:val="24"/>
          <w:szCs w:val="24"/>
        </w:rPr>
        <w:t xml:space="preserve">dominant in the field because it </w:t>
      </w:r>
      <w:r w:rsidR="006F7E67">
        <w:rPr>
          <w:rFonts w:ascii="Times New Roman" w:hAnsi="Times New Roman" w:cs="Times New Roman"/>
          <w:i/>
          <w:sz w:val="24"/>
          <w:szCs w:val="24"/>
        </w:rPr>
        <w:t xml:space="preserve">[has </w:t>
      </w:r>
      <w:proofErr w:type="gramStart"/>
      <w:r w:rsidR="006F7E67">
        <w:rPr>
          <w:rFonts w:ascii="Times New Roman" w:hAnsi="Times New Roman" w:cs="Times New Roman"/>
          <w:i/>
          <w:sz w:val="24"/>
          <w:szCs w:val="24"/>
        </w:rPr>
        <w:t>been]</w:t>
      </w:r>
      <w:r w:rsidR="00776B76">
        <w:rPr>
          <w:rFonts w:ascii="Times New Roman" w:hAnsi="Times New Roman" w:cs="Times New Roman"/>
          <w:i/>
          <w:sz w:val="24"/>
          <w:szCs w:val="24"/>
        </w:rPr>
        <w:t>successful</w:t>
      </w:r>
      <w:proofErr w:type="gramEnd"/>
      <w:r w:rsidR="00776B76">
        <w:rPr>
          <w:rFonts w:ascii="Times New Roman" w:hAnsi="Times New Roman" w:cs="Times New Roman"/>
          <w:i/>
          <w:sz w:val="24"/>
          <w:szCs w:val="24"/>
        </w:rPr>
        <w:t xml:space="preserve"> in solving useful practical problems</w:t>
      </w:r>
      <w:r w:rsidR="006F7E67">
        <w:rPr>
          <w:rFonts w:ascii="Times New Roman" w:hAnsi="Times New Roman" w:cs="Times New Roman"/>
          <w:sz w:val="24"/>
          <w:szCs w:val="24"/>
        </w:rPr>
        <w:t>”.</w:t>
      </w:r>
      <w:r w:rsidR="00776B76">
        <w:rPr>
          <w:rStyle w:val="FootnoteReference"/>
          <w:rFonts w:ascii="Times New Roman" w:hAnsi="Times New Roman" w:cs="Times New Roman"/>
          <w:sz w:val="24"/>
          <w:szCs w:val="24"/>
        </w:rPr>
        <w:footnoteReference w:id="14"/>
      </w:r>
    </w:p>
    <w:p w14:paraId="0916C832" w14:textId="77777777" w:rsidR="003F3E6B" w:rsidRDefault="003F3E6B" w:rsidP="009628AA">
      <w:pPr>
        <w:spacing w:after="0" w:line="240" w:lineRule="auto"/>
        <w:ind w:left="66"/>
        <w:jc w:val="both"/>
        <w:rPr>
          <w:rFonts w:ascii="Times New Roman" w:hAnsi="Times New Roman" w:cs="Times New Roman"/>
          <w:sz w:val="24"/>
          <w:szCs w:val="24"/>
        </w:rPr>
      </w:pPr>
    </w:p>
    <w:p w14:paraId="7146A169" w14:textId="2CDA62FF" w:rsidR="009628AA" w:rsidRDefault="00406723" w:rsidP="009628AA">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F</w:t>
      </w:r>
      <w:r w:rsidR="009628AA" w:rsidRPr="00EE325C">
        <w:rPr>
          <w:rFonts w:ascii="Times New Roman" w:hAnsi="Times New Roman" w:cs="Times New Roman"/>
          <w:sz w:val="24"/>
          <w:szCs w:val="24"/>
        </w:rPr>
        <w:t>or the purpose</w:t>
      </w:r>
      <w:r w:rsidR="00EE325C" w:rsidRPr="00EE325C">
        <w:rPr>
          <w:rFonts w:ascii="Times New Roman" w:hAnsi="Times New Roman" w:cs="Times New Roman"/>
          <w:sz w:val="24"/>
          <w:szCs w:val="24"/>
        </w:rPr>
        <w:t>s</w:t>
      </w:r>
      <w:r w:rsidR="009628AA" w:rsidRPr="00EE325C">
        <w:rPr>
          <w:rFonts w:ascii="Times New Roman" w:hAnsi="Times New Roman" w:cs="Times New Roman"/>
          <w:sz w:val="24"/>
          <w:szCs w:val="24"/>
        </w:rPr>
        <w:t xml:space="preserve"> of thi</w:t>
      </w:r>
      <w:r w:rsidR="00C93360">
        <w:rPr>
          <w:rFonts w:ascii="Times New Roman" w:hAnsi="Times New Roman" w:cs="Times New Roman"/>
          <w:sz w:val="24"/>
          <w:szCs w:val="24"/>
        </w:rPr>
        <w:t xml:space="preserve">s paper, </w:t>
      </w:r>
      <w:r>
        <w:rPr>
          <w:rFonts w:ascii="Times New Roman" w:hAnsi="Times New Roman" w:cs="Times New Roman"/>
          <w:sz w:val="24"/>
          <w:szCs w:val="24"/>
        </w:rPr>
        <w:t xml:space="preserve">particular attention </w:t>
      </w:r>
      <w:r w:rsidR="006F7E67">
        <w:rPr>
          <w:rFonts w:ascii="Times New Roman" w:hAnsi="Times New Roman" w:cs="Times New Roman"/>
          <w:sz w:val="24"/>
          <w:szCs w:val="24"/>
        </w:rPr>
        <w:t xml:space="preserve">will </w:t>
      </w:r>
      <w:r>
        <w:rPr>
          <w:rFonts w:ascii="Times New Roman" w:hAnsi="Times New Roman" w:cs="Times New Roman"/>
          <w:sz w:val="24"/>
          <w:szCs w:val="24"/>
        </w:rPr>
        <w:t xml:space="preserve">be devoted to </w:t>
      </w:r>
      <w:r w:rsidR="00C93360">
        <w:rPr>
          <w:rFonts w:ascii="Times New Roman" w:hAnsi="Times New Roman" w:cs="Times New Roman"/>
          <w:sz w:val="24"/>
          <w:szCs w:val="24"/>
        </w:rPr>
        <w:t>the way in which a</w:t>
      </w:r>
      <w:r w:rsidR="009628AA" w:rsidRPr="00EE325C">
        <w:rPr>
          <w:rFonts w:ascii="Times New Roman" w:hAnsi="Times New Roman" w:cs="Times New Roman"/>
          <w:sz w:val="24"/>
          <w:szCs w:val="24"/>
        </w:rPr>
        <w:t xml:space="preserve"> machine is able to learn and, </w:t>
      </w:r>
      <w:proofErr w:type="gramStart"/>
      <w:r w:rsidR="009628AA" w:rsidRPr="00EE325C">
        <w:rPr>
          <w:rFonts w:ascii="Times New Roman" w:hAnsi="Times New Roman" w:cs="Times New Roman"/>
          <w:sz w:val="24"/>
          <w:szCs w:val="24"/>
        </w:rPr>
        <w:t>in particular the</w:t>
      </w:r>
      <w:proofErr w:type="gramEnd"/>
      <w:r w:rsidR="009628AA" w:rsidRPr="00EE325C">
        <w:rPr>
          <w:rFonts w:ascii="Times New Roman" w:hAnsi="Times New Roman" w:cs="Times New Roman"/>
          <w:sz w:val="24"/>
          <w:szCs w:val="24"/>
        </w:rPr>
        <w:t xml:space="preserve"> role of human int</w:t>
      </w:r>
      <w:r w:rsidR="00C93360">
        <w:rPr>
          <w:rFonts w:ascii="Times New Roman" w:hAnsi="Times New Roman" w:cs="Times New Roman"/>
          <w:sz w:val="24"/>
          <w:szCs w:val="24"/>
        </w:rPr>
        <w:t xml:space="preserve">ervention during </w:t>
      </w:r>
      <w:r w:rsidR="006F7E67">
        <w:rPr>
          <w:rFonts w:ascii="Times New Roman" w:hAnsi="Times New Roman" w:cs="Times New Roman"/>
          <w:sz w:val="24"/>
          <w:szCs w:val="24"/>
        </w:rPr>
        <w:t>such</w:t>
      </w:r>
      <w:r w:rsidR="00C93360">
        <w:rPr>
          <w:rFonts w:ascii="Times New Roman" w:hAnsi="Times New Roman" w:cs="Times New Roman"/>
          <w:sz w:val="24"/>
          <w:szCs w:val="24"/>
        </w:rPr>
        <w:t xml:space="preserve"> training</w:t>
      </w:r>
      <w:r w:rsidR="009628AA" w:rsidRPr="00EE325C">
        <w:rPr>
          <w:rFonts w:ascii="Times New Roman" w:hAnsi="Times New Roman" w:cs="Times New Roman"/>
          <w:sz w:val="24"/>
          <w:szCs w:val="24"/>
        </w:rPr>
        <w:t>.</w:t>
      </w:r>
      <w:r w:rsidR="009628AA">
        <w:rPr>
          <w:rFonts w:ascii="Times New Roman" w:hAnsi="Times New Roman" w:cs="Times New Roman"/>
          <w:sz w:val="24"/>
          <w:szCs w:val="24"/>
        </w:rPr>
        <w:t xml:space="preserve"> Indeed, machine learning can be </w:t>
      </w:r>
      <w:r w:rsidR="00F4359F">
        <w:rPr>
          <w:rFonts w:ascii="Times New Roman" w:hAnsi="Times New Roman" w:cs="Times New Roman"/>
          <w:sz w:val="24"/>
          <w:szCs w:val="24"/>
        </w:rPr>
        <w:t xml:space="preserve">supervised, </w:t>
      </w:r>
      <w:r w:rsidR="009628AA">
        <w:rPr>
          <w:rFonts w:ascii="Times New Roman" w:hAnsi="Times New Roman" w:cs="Times New Roman"/>
          <w:sz w:val="24"/>
          <w:szCs w:val="24"/>
        </w:rPr>
        <w:t>unsupervised</w:t>
      </w:r>
      <w:r w:rsidR="00F4359F">
        <w:rPr>
          <w:rFonts w:ascii="Times New Roman" w:hAnsi="Times New Roman" w:cs="Times New Roman"/>
          <w:sz w:val="24"/>
          <w:szCs w:val="24"/>
        </w:rPr>
        <w:t xml:space="preserve"> </w:t>
      </w:r>
      <w:r w:rsidR="006F7E67">
        <w:rPr>
          <w:rFonts w:ascii="Times New Roman" w:hAnsi="Times New Roman" w:cs="Times New Roman"/>
          <w:sz w:val="24"/>
          <w:szCs w:val="24"/>
        </w:rPr>
        <w:t>or</w:t>
      </w:r>
      <w:r w:rsidR="00F4359F">
        <w:rPr>
          <w:rFonts w:ascii="Times New Roman" w:hAnsi="Times New Roman" w:cs="Times New Roman"/>
          <w:sz w:val="24"/>
          <w:szCs w:val="24"/>
        </w:rPr>
        <w:t xml:space="preserve"> semi-supervised</w:t>
      </w:r>
      <w:r w:rsidR="009628AA">
        <w:rPr>
          <w:rFonts w:ascii="Times New Roman" w:hAnsi="Times New Roman" w:cs="Times New Roman"/>
          <w:sz w:val="24"/>
          <w:szCs w:val="24"/>
        </w:rPr>
        <w:t xml:space="preserve">. In the first </w:t>
      </w:r>
      <w:r w:rsidR="00050382">
        <w:rPr>
          <w:rFonts w:ascii="Times New Roman" w:hAnsi="Times New Roman" w:cs="Times New Roman"/>
          <w:sz w:val="24"/>
          <w:szCs w:val="24"/>
        </w:rPr>
        <w:t>scenario</w:t>
      </w:r>
      <w:r w:rsidR="00F4359F">
        <w:rPr>
          <w:rFonts w:ascii="Times New Roman" w:hAnsi="Times New Roman" w:cs="Times New Roman"/>
          <w:sz w:val="24"/>
          <w:szCs w:val="24"/>
        </w:rPr>
        <w:t>, the data</w:t>
      </w:r>
      <w:r w:rsidR="006F7E67">
        <w:rPr>
          <w:rFonts w:ascii="Times New Roman" w:hAnsi="Times New Roman" w:cs="Times New Roman"/>
          <w:sz w:val="24"/>
          <w:szCs w:val="24"/>
        </w:rPr>
        <w:t xml:space="preserve"> </w:t>
      </w:r>
      <w:r w:rsidR="00F4359F">
        <w:rPr>
          <w:rFonts w:ascii="Times New Roman" w:hAnsi="Times New Roman" w:cs="Times New Roman"/>
          <w:sz w:val="24"/>
          <w:szCs w:val="24"/>
        </w:rPr>
        <w:t xml:space="preserve">set “ingested” by the machine </w:t>
      </w:r>
      <w:r w:rsidR="006F7E67">
        <w:rPr>
          <w:rFonts w:ascii="Times New Roman" w:hAnsi="Times New Roman" w:cs="Times New Roman"/>
          <w:sz w:val="24"/>
          <w:szCs w:val="24"/>
        </w:rPr>
        <w:t xml:space="preserve">consists of </w:t>
      </w:r>
      <w:r w:rsidR="00F4359F">
        <w:rPr>
          <w:rFonts w:ascii="Times New Roman" w:hAnsi="Times New Roman" w:cs="Times New Roman"/>
          <w:sz w:val="24"/>
          <w:szCs w:val="24"/>
        </w:rPr>
        <w:t>data that ha</w:t>
      </w:r>
      <w:r w:rsidR="00A31C2C">
        <w:rPr>
          <w:rFonts w:ascii="Times New Roman" w:hAnsi="Times New Roman" w:cs="Times New Roman"/>
          <w:sz w:val="24"/>
          <w:szCs w:val="24"/>
        </w:rPr>
        <w:t>s</w:t>
      </w:r>
      <w:r w:rsidR="00F4359F">
        <w:rPr>
          <w:rFonts w:ascii="Times New Roman" w:hAnsi="Times New Roman" w:cs="Times New Roman"/>
          <w:sz w:val="24"/>
          <w:szCs w:val="24"/>
        </w:rPr>
        <w:t xml:space="preserve"> been labelled</w:t>
      </w:r>
      <w:r w:rsidR="00F4359F">
        <w:rPr>
          <w:rStyle w:val="FootnoteReference"/>
          <w:rFonts w:ascii="Times New Roman" w:hAnsi="Times New Roman" w:cs="Times New Roman"/>
          <w:sz w:val="24"/>
          <w:szCs w:val="24"/>
        </w:rPr>
        <w:footnoteReference w:id="15"/>
      </w:r>
      <w:r w:rsidR="00F4359F">
        <w:rPr>
          <w:rFonts w:ascii="Times New Roman" w:hAnsi="Times New Roman" w:cs="Times New Roman"/>
          <w:sz w:val="24"/>
          <w:szCs w:val="24"/>
        </w:rPr>
        <w:t xml:space="preserve"> by a human operator. In the second, the machine </w:t>
      </w:r>
      <w:r w:rsidR="003949E8">
        <w:rPr>
          <w:rFonts w:ascii="Times New Roman" w:hAnsi="Times New Roman" w:cs="Times New Roman"/>
          <w:sz w:val="24"/>
          <w:szCs w:val="24"/>
        </w:rPr>
        <w:t>“learns”</w:t>
      </w:r>
      <w:r w:rsidR="006A50FD">
        <w:rPr>
          <w:rFonts w:ascii="Times New Roman" w:hAnsi="Times New Roman" w:cs="Times New Roman"/>
          <w:sz w:val="24"/>
          <w:szCs w:val="24"/>
        </w:rPr>
        <w:t xml:space="preserve">, </w:t>
      </w:r>
      <w:proofErr w:type="gramStart"/>
      <w:r w:rsidR="006A50FD">
        <w:rPr>
          <w:rFonts w:ascii="Times New Roman" w:hAnsi="Times New Roman" w:cs="Times New Roman"/>
          <w:sz w:val="24"/>
          <w:szCs w:val="24"/>
        </w:rPr>
        <w:t>i.e.</w:t>
      </w:r>
      <w:proofErr w:type="gramEnd"/>
      <w:r w:rsidR="006A50FD">
        <w:rPr>
          <w:rFonts w:ascii="Times New Roman" w:hAnsi="Times New Roman" w:cs="Times New Roman"/>
          <w:sz w:val="24"/>
          <w:szCs w:val="24"/>
        </w:rPr>
        <w:t xml:space="preserve"> e</w:t>
      </w:r>
      <w:r w:rsidR="003949E8" w:rsidRPr="006A50FD">
        <w:rPr>
          <w:rFonts w:ascii="Times New Roman" w:hAnsi="Times New Roman" w:cs="Times New Roman"/>
          <w:sz w:val="24"/>
          <w:szCs w:val="24"/>
        </w:rPr>
        <w:t>xperienc</w:t>
      </w:r>
      <w:r w:rsidR="006A50FD">
        <w:rPr>
          <w:rFonts w:ascii="Times New Roman" w:hAnsi="Times New Roman" w:cs="Times New Roman"/>
          <w:sz w:val="24"/>
          <w:szCs w:val="24"/>
        </w:rPr>
        <w:t xml:space="preserve">es </w:t>
      </w:r>
      <w:r w:rsidR="003949E8" w:rsidRPr="006A50FD">
        <w:rPr>
          <w:rFonts w:ascii="Times New Roman" w:hAnsi="Times New Roman" w:cs="Times New Roman"/>
          <w:sz w:val="24"/>
          <w:szCs w:val="24"/>
        </w:rPr>
        <w:t xml:space="preserve">the world </w:t>
      </w:r>
      <w:r w:rsidR="006A50FD">
        <w:rPr>
          <w:rFonts w:ascii="Times New Roman" w:hAnsi="Times New Roman" w:cs="Times New Roman"/>
          <w:sz w:val="24"/>
          <w:szCs w:val="24"/>
        </w:rPr>
        <w:t>by</w:t>
      </w:r>
      <w:r w:rsidR="006F7E67" w:rsidRPr="006A50FD">
        <w:rPr>
          <w:rFonts w:ascii="Times New Roman" w:hAnsi="Times New Roman" w:cs="Times New Roman"/>
          <w:sz w:val="24"/>
          <w:szCs w:val="24"/>
        </w:rPr>
        <w:t xml:space="preserve"> </w:t>
      </w:r>
      <w:r w:rsidR="003949E8" w:rsidRPr="006A50FD">
        <w:rPr>
          <w:rFonts w:ascii="Times New Roman" w:hAnsi="Times New Roman" w:cs="Times New Roman"/>
          <w:sz w:val="24"/>
          <w:szCs w:val="24"/>
        </w:rPr>
        <w:t>processing</w:t>
      </w:r>
      <w:r w:rsidR="00F4359F" w:rsidRPr="006A50FD">
        <w:rPr>
          <w:rFonts w:ascii="Times New Roman" w:hAnsi="Times New Roman" w:cs="Times New Roman"/>
          <w:sz w:val="24"/>
          <w:szCs w:val="24"/>
        </w:rPr>
        <w:t xml:space="preserve"> </w:t>
      </w:r>
      <w:proofErr w:type="spellStart"/>
      <w:r w:rsidR="00F4359F" w:rsidRPr="006A50FD">
        <w:rPr>
          <w:rFonts w:ascii="Times New Roman" w:hAnsi="Times New Roman" w:cs="Times New Roman"/>
          <w:sz w:val="24"/>
          <w:szCs w:val="24"/>
        </w:rPr>
        <w:t>unlabe</w:t>
      </w:r>
      <w:r w:rsidR="006F7E67" w:rsidRPr="006A50FD">
        <w:rPr>
          <w:rFonts w:ascii="Times New Roman" w:hAnsi="Times New Roman" w:cs="Times New Roman"/>
          <w:sz w:val="24"/>
          <w:szCs w:val="24"/>
        </w:rPr>
        <w:t>l</w:t>
      </w:r>
      <w:r w:rsidR="00F4359F" w:rsidRPr="006A50FD">
        <w:rPr>
          <w:rFonts w:ascii="Times New Roman" w:hAnsi="Times New Roman" w:cs="Times New Roman"/>
          <w:sz w:val="24"/>
          <w:szCs w:val="24"/>
        </w:rPr>
        <w:t>led</w:t>
      </w:r>
      <w:proofErr w:type="spellEnd"/>
      <w:r w:rsidR="00F4359F" w:rsidRPr="006A50FD">
        <w:rPr>
          <w:rFonts w:ascii="Times New Roman" w:hAnsi="Times New Roman" w:cs="Times New Roman"/>
          <w:sz w:val="24"/>
          <w:szCs w:val="24"/>
        </w:rPr>
        <w:t xml:space="preserve"> data</w:t>
      </w:r>
      <w:r w:rsidR="00B429F4" w:rsidRPr="006A50FD">
        <w:rPr>
          <w:rFonts w:ascii="Times New Roman" w:hAnsi="Times New Roman" w:cs="Times New Roman"/>
          <w:sz w:val="24"/>
          <w:szCs w:val="24"/>
        </w:rPr>
        <w:t>.</w:t>
      </w:r>
      <w:r w:rsidR="00B429F4">
        <w:rPr>
          <w:rFonts w:ascii="Times New Roman" w:hAnsi="Times New Roman" w:cs="Times New Roman"/>
          <w:sz w:val="24"/>
          <w:szCs w:val="24"/>
        </w:rPr>
        <w:t xml:space="preserve"> In the </w:t>
      </w:r>
      <w:r w:rsidR="006F7E67">
        <w:rPr>
          <w:rFonts w:ascii="Times New Roman" w:hAnsi="Times New Roman" w:cs="Times New Roman"/>
          <w:sz w:val="24"/>
          <w:szCs w:val="24"/>
        </w:rPr>
        <w:t xml:space="preserve">third </w:t>
      </w:r>
      <w:r w:rsidR="00B429F4">
        <w:rPr>
          <w:rFonts w:ascii="Times New Roman" w:hAnsi="Times New Roman" w:cs="Times New Roman"/>
          <w:sz w:val="24"/>
          <w:szCs w:val="24"/>
        </w:rPr>
        <w:t xml:space="preserve">hypothesis, there is a mix </w:t>
      </w:r>
      <w:r w:rsidR="006F7E67">
        <w:rPr>
          <w:rFonts w:ascii="Times New Roman" w:hAnsi="Times New Roman" w:cs="Times New Roman"/>
          <w:sz w:val="24"/>
          <w:szCs w:val="24"/>
        </w:rPr>
        <w:t xml:space="preserve">of </w:t>
      </w:r>
      <w:r w:rsidR="00B429F4">
        <w:rPr>
          <w:rFonts w:ascii="Times New Roman" w:hAnsi="Times New Roman" w:cs="Times New Roman"/>
          <w:sz w:val="24"/>
          <w:szCs w:val="24"/>
        </w:rPr>
        <w:t>the first two scenarios</w:t>
      </w:r>
      <w:r w:rsidR="00566EA8">
        <w:rPr>
          <w:rFonts w:ascii="Times New Roman" w:hAnsi="Times New Roman" w:cs="Times New Roman"/>
          <w:sz w:val="24"/>
          <w:szCs w:val="24"/>
        </w:rPr>
        <w:t>.</w:t>
      </w:r>
      <w:r w:rsidR="009628AA">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14:paraId="6EEB3203" w14:textId="31B60592" w:rsidR="00514DD0" w:rsidRDefault="00406723" w:rsidP="002371F3">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T</w:t>
      </w:r>
      <w:r w:rsidR="002C4CFF">
        <w:rPr>
          <w:rFonts w:ascii="Times New Roman" w:hAnsi="Times New Roman" w:cs="Times New Roman"/>
          <w:sz w:val="24"/>
          <w:szCs w:val="24"/>
        </w:rPr>
        <w:t xml:space="preserve">he importance of </w:t>
      </w:r>
      <w:r>
        <w:rPr>
          <w:rFonts w:ascii="Times New Roman" w:hAnsi="Times New Roman" w:cs="Times New Roman"/>
          <w:sz w:val="24"/>
          <w:szCs w:val="24"/>
        </w:rPr>
        <w:t>AI for</w:t>
      </w:r>
      <w:r w:rsidR="002C4CFF">
        <w:rPr>
          <w:rFonts w:ascii="Times New Roman" w:hAnsi="Times New Roman" w:cs="Times New Roman"/>
          <w:sz w:val="24"/>
          <w:szCs w:val="24"/>
        </w:rPr>
        <w:t xml:space="preserve"> databases is </w:t>
      </w:r>
      <w:r w:rsidR="006F7E67">
        <w:rPr>
          <w:rFonts w:ascii="Times New Roman" w:hAnsi="Times New Roman" w:cs="Times New Roman"/>
          <w:sz w:val="24"/>
          <w:szCs w:val="24"/>
        </w:rPr>
        <w:t>undisputed.</w:t>
      </w:r>
      <w:r w:rsidR="00922978">
        <w:rPr>
          <w:rStyle w:val="FootnoteReference"/>
          <w:rFonts w:ascii="Times New Roman" w:hAnsi="Times New Roman" w:cs="Times New Roman"/>
          <w:sz w:val="24"/>
          <w:szCs w:val="24"/>
        </w:rPr>
        <w:footnoteReference w:id="17"/>
      </w:r>
      <w:r w:rsidR="00922978">
        <w:rPr>
          <w:rFonts w:ascii="Times New Roman" w:hAnsi="Times New Roman" w:cs="Times New Roman"/>
          <w:sz w:val="24"/>
          <w:szCs w:val="24"/>
        </w:rPr>
        <w:t xml:space="preserve"> Indeed</w:t>
      </w:r>
      <w:r w:rsidR="00CC148F">
        <w:rPr>
          <w:rFonts w:ascii="Times New Roman" w:hAnsi="Times New Roman" w:cs="Times New Roman"/>
          <w:sz w:val="24"/>
          <w:szCs w:val="24"/>
        </w:rPr>
        <w:t>,</w:t>
      </w:r>
      <w:r w:rsidR="00655622">
        <w:rPr>
          <w:rFonts w:ascii="Times New Roman" w:hAnsi="Times New Roman" w:cs="Times New Roman"/>
          <w:sz w:val="24"/>
          <w:szCs w:val="24"/>
        </w:rPr>
        <w:t xml:space="preserve"> the crucial</w:t>
      </w:r>
      <w:r w:rsidR="00960CBD">
        <w:rPr>
          <w:rFonts w:ascii="Times New Roman" w:hAnsi="Times New Roman" w:cs="Times New Roman"/>
          <w:sz w:val="24"/>
          <w:szCs w:val="24"/>
        </w:rPr>
        <w:t xml:space="preserve"> role of AI in shaping</w:t>
      </w:r>
      <w:r w:rsidR="00655622">
        <w:rPr>
          <w:rFonts w:ascii="Times New Roman" w:hAnsi="Times New Roman" w:cs="Times New Roman"/>
          <w:sz w:val="24"/>
          <w:szCs w:val="24"/>
        </w:rPr>
        <w:t xml:space="preserve"> the EU framework has been recently reaffirmed by the European Commission</w:t>
      </w:r>
      <w:r w:rsidR="006F7E67">
        <w:rPr>
          <w:rFonts w:ascii="Times New Roman" w:hAnsi="Times New Roman" w:cs="Times New Roman"/>
          <w:sz w:val="24"/>
          <w:szCs w:val="24"/>
        </w:rPr>
        <w:t>,</w:t>
      </w:r>
      <w:r w:rsidR="00655622">
        <w:rPr>
          <w:rStyle w:val="FootnoteReference"/>
          <w:rFonts w:ascii="Times New Roman" w:hAnsi="Times New Roman" w:cs="Times New Roman"/>
          <w:sz w:val="24"/>
          <w:szCs w:val="24"/>
        </w:rPr>
        <w:footnoteReference w:id="18"/>
      </w:r>
      <w:r w:rsidR="00CC148F">
        <w:rPr>
          <w:rFonts w:ascii="Times New Roman" w:hAnsi="Times New Roman" w:cs="Times New Roman"/>
          <w:sz w:val="24"/>
          <w:szCs w:val="24"/>
        </w:rPr>
        <w:t xml:space="preserve"> </w:t>
      </w:r>
      <w:r w:rsidR="000B50DE">
        <w:rPr>
          <w:rFonts w:ascii="Times New Roman" w:hAnsi="Times New Roman" w:cs="Times New Roman"/>
          <w:sz w:val="24"/>
          <w:szCs w:val="24"/>
        </w:rPr>
        <w:t>and the impact of the data-driven economy</w:t>
      </w:r>
      <w:r w:rsidR="000B50DE">
        <w:rPr>
          <w:rStyle w:val="FootnoteReference"/>
          <w:rFonts w:ascii="Times New Roman" w:hAnsi="Times New Roman" w:cs="Times New Roman"/>
          <w:sz w:val="24"/>
          <w:szCs w:val="24"/>
        </w:rPr>
        <w:footnoteReference w:id="19"/>
      </w:r>
      <w:r w:rsidR="003949E8">
        <w:rPr>
          <w:rFonts w:ascii="Times New Roman" w:hAnsi="Times New Roman" w:cs="Times New Roman"/>
          <w:sz w:val="24"/>
          <w:szCs w:val="24"/>
        </w:rPr>
        <w:t xml:space="preserve"> on databases has been clearly </w:t>
      </w:r>
      <w:r w:rsidR="006F7E67">
        <w:rPr>
          <w:rFonts w:ascii="Times New Roman" w:hAnsi="Times New Roman" w:cs="Times New Roman"/>
          <w:sz w:val="24"/>
          <w:szCs w:val="24"/>
        </w:rPr>
        <w:t xml:space="preserve">demonstrated </w:t>
      </w:r>
      <w:r w:rsidR="000B50DE">
        <w:rPr>
          <w:rFonts w:ascii="Times New Roman" w:hAnsi="Times New Roman" w:cs="Times New Roman"/>
          <w:sz w:val="24"/>
          <w:szCs w:val="24"/>
        </w:rPr>
        <w:t xml:space="preserve">in the studies </w:t>
      </w:r>
      <w:r w:rsidR="006F7E67">
        <w:rPr>
          <w:rFonts w:ascii="Times New Roman" w:hAnsi="Times New Roman" w:cs="Times New Roman"/>
          <w:sz w:val="24"/>
          <w:szCs w:val="24"/>
        </w:rPr>
        <w:t xml:space="preserve">supporting </w:t>
      </w:r>
      <w:r w:rsidR="000B50DE">
        <w:rPr>
          <w:rFonts w:ascii="Times New Roman" w:hAnsi="Times New Roman" w:cs="Times New Roman"/>
          <w:sz w:val="24"/>
          <w:szCs w:val="24"/>
        </w:rPr>
        <w:t>the evaluation of the Database Directive</w:t>
      </w:r>
      <w:r w:rsidR="006F7E67">
        <w:rPr>
          <w:rFonts w:ascii="Times New Roman" w:hAnsi="Times New Roman" w:cs="Times New Roman"/>
          <w:sz w:val="24"/>
          <w:szCs w:val="24"/>
        </w:rPr>
        <w:t>.</w:t>
      </w:r>
      <w:r w:rsidR="000B50DE">
        <w:rPr>
          <w:rStyle w:val="FootnoteReference"/>
          <w:rFonts w:ascii="Times New Roman" w:hAnsi="Times New Roman" w:cs="Times New Roman"/>
          <w:sz w:val="24"/>
          <w:szCs w:val="24"/>
        </w:rPr>
        <w:footnoteReference w:id="20"/>
      </w:r>
      <w:r w:rsidR="000B50DE">
        <w:rPr>
          <w:rFonts w:ascii="Times New Roman" w:hAnsi="Times New Roman" w:cs="Times New Roman"/>
          <w:sz w:val="24"/>
          <w:szCs w:val="24"/>
        </w:rPr>
        <w:t xml:space="preserve"> </w:t>
      </w:r>
      <w:r w:rsidR="006F7E67">
        <w:rPr>
          <w:rFonts w:ascii="Times New Roman" w:hAnsi="Times New Roman" w:cs="Times New Roman"/>
          <w:sz w:val="24"/>
          <w:szCs w:val="24"/>
        </w:rPr>
        <w:t xml:space="preserve">From a purely </w:t>
      </w:r>
      <w:r w:rsidR="00D770CC">
        <w:rPr>
          <w:rFonts w:ascii="Times New Roman" w:hAnsi="Times New Roman" w:cs="Times New Roman"/>
          <w:sz w:val="24"/>
          <w:szCs w:val="24"/>
        </w:rPr>
        <w:t>quantitative perspective,</w:t>
      </w:r>
      <w:r w:rsidR="000B50DE">
        <w:rPr>
          <w:rFonts w:ascii="Times New Roman" w:hAnsi="Times New Roman" w:cs="Times New Roman"/>
          <w:sz w:val="24"/>
          <w:szCs w:val="24"/>
        </w:rPr>
        <w:t xml:space="preserve"> </w:t>
      </w:r>
      <w:r w:rsidR="00D770CC">
        <w:rPr>
          <w:rFonts w:ascii="Times New Roman" w:hAnsi="Times New Roman" w:cs="Times New Roman"/>
          <w:sz w:val="24"/>
          <w:szCs w:val="24"/>
        </w:rPr>
        <w:t>the application of AI technologies to databases is a game-changer,</w:t>
      </w:r>
      <w:r w:rsidR="006E2486">
        <w:rPr>
          <w:rFonts w:ascii="Times New Roman" w:hAnsi="Times New Roman" w:cs="Times New Roman"/>
          <w:sz w:val="24"/>
          <w:szCs w:val="24"/>
        </w:rPr>
        <w:t xml:space="preserve"> because it</w:t>
      </w:r>
      <w:r w:rsidR="00D770CC">
        <w:rPr>
          <w:rFonts w:ascii="Times New Roman" w:hAnsi="Times New Roman" w:cs="Times New Roman"/>
          <w:sz w:val="24"/>
          <w:szCs w:val="24"/>
        </w:rPr>
        <w:t xml:space="preserve"> allows t</w:t>
      </w:r>
      <w:r w:rsidR="00450DB2">
        <w:rPr>
          <w:rFonts w:ascii="Times New Roman" w:hAnsi="Times New Roman" w:cs="Times New Roman"/>
          <w:sz w:val="24"/>
          <w:szCs w:val="24"/>
        </w:rPr>
        <w:t xml:space="preserve">he system to </w:t>
      </w:r>
      <w:r w:rsidR="00D770CC">
        <w:rPr>
          <w:rFonts w:ascii="Times New Roman" w:hAnsi="Times New Roman" w:cs="Times New Roman"/>
          <w:sz w:val="24"/>
          <w:szCs w:val="24"/>
        </w:rPr>
        <w:t>collect</w:t>
      </w:r>
      <w:r w:rsidR="00450DB2">
        <w:rPr>
          <w:rFonts w:ascii="Times New Roman" w:hAnsi="Times New Roman" w:cs="Times New Roman"/>
          <w:sz w:val="24"/>
          <w:szCs w:val="24"/>
        </w:rPr>
        <w:t>, process and store</w:t>
      </w:r>
      <w:r w:rsidR="00D770CC">
        <w:rPr>
          <w:rFonts w:ascii="Times New Roman" w:hAnsi="Times New Roman" w:cs="Times New Roman"/>
          <w:sz w:val="24"/>
          <w:szCs w:val="24"/>
        </w:rPr>
        <w:t xml:space="preserve"> </w:t>
      </w:r>
      <w:r w:rsidR="000B2EA7">
        <w:rPr>
          <w:rFonts w:ascii="Times New Roman" w:hAnsi="Times New Roman" w:cs="Times New Roman"/>
          <w:sz w:val="24"/>
          <w:szCs w:val="24"/>
        </w:rPr>
        <w:t>a tremendous amount of data. Furthermore, from a qualitative perspective, an AI system would be able to find n</w:t>
      </w:r>
      <w:r w:rsidR="006E2486">
        <w:rPr>
          <w:rFonts w:ascii="Times New Roman" w:hAnsi="Times New Roman" w:cs="Times New Roman"/>
          <w:sz w:val="24"/>
          <w:szCs w:val="24"/>
        </w:rPr>
        <w:t>ew correlations between data, thus</w:t>
      </w:r>
      <w:r w:rsidR="000B2EA7">
        <w:rPr>
          <w:rFonts w:ascii="Times New Roman" w:hAnsi="Times New Roman" w:cs="Times New Roman"/>
          <w:sz w:val="24"/>
          <w:szCs w:val="24"/>
        </w:rPr>
        <w:t xml:space="preserve"> creating</w:t>
      </w:r>
      <w:r w:rsidR="002371F3">
        <w:rPr>
          <w:rFonts w:ascii="Times New Roman" w:hAnsi="Times New Roman" w:cs="Times New Roman"/>
          <w:sz w:val="24"/>
          <w:szCs w:val="24"/>
        </w:rPr>
        <w:t xml:space="preserve"> more complex databases.</w:t>
      </w:r>
    </w:p>
    <w:p w14:paraId="58C55DC2" w14:textId="0A645587" w:rsidR="00860F04" w:rsidRPr="00450DB2" w:rsidRDefault="002371F3" w:rsidP="00450DB2">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14:paraId="6674B7B3" w14:textId="2F00764D" w:rsidR="00570ACE" w:rsidRDefault="00570ACE" w:rsidP="00570ACE">
      <w:pPr>
        <w:pStyle w:val="Titoloperindice"/>
        <w:numPr>
          <w:ilvl w:val="0"/>
          <w:numId w:val="2"/>
        </w:numPr>
      </w:pPr>
      <w:r>
        <w:t xml:space="preserve">Data </w:t>
      </w:r>
      <w:r w:rsidR="002A63FB">
        <w:t>l</w:t>
      </w:r>
      <w:r>
        <w:t xml:space="preserve">akes and databases. What </w:t>
      </w:r>
      <w:r w:rsidR="004054DF">
        <w:t xml:space="preserve">is relevant for </w:t>
      </w:r>
      <w:r>
        <w:t>our analysis?</w:t>
      </w:r>
    </w:p>
    <w:p w14:paraId="345FF111" w14:textId="77777777" w:rsidR="00570ACE" w:rsidRDefault="00570ACE" w:rsidP="006F2378">
      <w:pPr>
        <w:pStyle w:val="Titoloperindice"/>
        <w:ind w:left="720"/>
      </w:pPr>
    </w:p>
    <w:p w14:paraId="4A0AD1EC" w14:textId="572F5D06" w:rsidR="003F3E6B" w:rsidRDefault="002A63FB" w:rsidP="003949E8">
      <w:pPr>
        <w:pStyle w:val="Titoloperindice"/>
        <w:rPr>
          <w:b w:val="0"/>
        </w:rPr>
      </w:pPr>
      <w:r w:rsidRPr="002A63FB">
        <w:rPr>
          <w:b w:val="0"/>
        </w:rPr>
        <w:t xml:space="preserve">Under </w:t>
      </w:r>
      <w:r>
        <w:rPr>
          <w:b w:val="0"/>
        </w:rPr>
        <w:t>A</w:t>
      </w:r>
      <w:r w:rsidR="005269A5">
        <w:rPr>
          <w:b w:val="0"/>
        </w:rPr>
        <w:t>rticle 1(</w:t>
      </w:r>
      <w:r w:rsidR="00570ACE" w:rsidRPr="006F2378">
        <w:rPr>
          <w:b w:val="0"/>
        </w:rPr>
        <w:t>2</w:t>
      </w:r>
      <w:r w:rsidR="005269A5">
        <w:rPr>
          <w:b w:val="0"/>
        </w:rPr>
        <w:t>)</w:t>
      </w:r>
      <w:r w:rsidR="00570ACE" w:rsidRPr="006F2378">
        <w:rPr>
          <w:b w:val="0"/>
        </w:rPr>
        <w:t xml:space="preserve"> of the Database Directive</w:t>
      </w:r>
      <w:r w:rsidR="003949E8">
        <w:rPr>
          <w:b w:val="0"/>
        </w:rPr>
        <w:t>,</w:t>
      </w:r>
      <w:r w:rsidR="00570ACE" w:rsidRPr="006F2378">
        <w:rPr>
          <w:b w:val="0"/>
        </w:rPr>
        <w:t xml:space="preserve"> a database is </w:t>
      </w:r>
      <w:r w:rsidR="004E6ED3">
        <w:rPr>
          <w:b w:val="0"/>
        </w:rPr>
        <w:t>“</w:t>
      </w:r>
      <w:r w:rsidR="00570ACE" w:rsidRPr="006F2378">
        <w:rPr>
          <w:b w:val="0"/>
          <w:i/>
        </w:rPr>
        <w:t>a collection of independent works, data or other materials arranged in a systematic or methodical way and individually accessible by electronic or other means</w:t>
      </w:r>
      <w:r w:rsidR="004E6ED3">
        <w:rPr>
          <w:b w:val="0"/>
        </w:rPr>
        <w:t>”.</w:t>
      </w:r>
    </w:p>
    <w:p w14:paraId="6F2339E1" w14:textId="4F108499" w:rsidR="002A63FB" w:rsidRDefault="002A63FB" w:rsidP="003949E8">
      <w:pPr>
        <w:pStyle w:val="Titoloperindice"/>
        <w:rPr>
          <w:b w:val="0"/>
        </w:rPr>
      </w:pPr>
    </w:p>
    <w:p w14:paraId="2D331BB8" w14:textId="73771B80" w:rsidR="00570ACE" w:rsidRPr="00570ACE" w:rsidRDefault="002A63FB" w:rsidP="003949E8">
      <w:pPr>
        <w:pStyle w:val="Titoloperindice"/>
        <w:rPr>
          <w:b w:val="0"/>
        </w:rPr>
      </w:pPr>
      <w:r>
        <w:rPr>
          <w:b w:val="0"/>
        </w:rPr>
        <w:t xml:space="preserve">This concept is </w:t>
      </w:r>
      <w:r w:rsidR="004E6ED3">
        <w:rPr>
          <w:b w:val="0"/>
        </w:rPr>
        <w:t xml:space="preserve">very </w:t>
      </w:r>
      <w:r>
        <w:rPr>
          <w:b w:val="0"/>
        </w:rPr>
        <w:t>different from the concept of data lakes. Indeed,</w:t>
      </w:r>
      <w:r w:rsidR="00DF61DB">
        <w:rPr>
          <w:b w:val="0"/>
        </w:rPr>
        <w:t xml:space="preserve"> while the latter </w:t>
      </w:r>
      <w:r w:rsidR="004E6ED3">
        <w:rPr>
          <w:b w:val="0"/>
        </w:rPr>
        <w:t xml:space="preserve">term </w:t>
      </w:r>
      <w:r w:rsidR="00DF61DB">
        <w:rPr>
          <w:b w:val="0"/>
        </w:rPr>
        <w:t>refers to mere flows of data indistinctly collect</w:t>
      </w:r>
      <w:r w:rsidR="00405A2D">
        <w:rPr>
          <w:b w:val="0"/>
        </w:rPr>
        <w:t>ed</w:t>
      </w:r>
      <w:r w:rsidR="004E6ED3">
        <w:rPr>
          <w:b w:val="0"/>
        </w:rPr>
        <w:t>,</w:t>
      </w:r>
      <w:r w:rsidR="00DF61DB">
        <w:rPr>
          <w:rStyle w:val="FootnoteReference"/>
          <w:b w:val="0"/>
        </w:rPr>
        <w:footnoteReference w:id="21"/>
      </w:r>
      <w:r w:rsidR="00DF61DB">
        <w:rPr>
          <w:b w:val="0"/>
        </w:rPr>
        <w:t xml:space="preserve"> the former, even if </w:t>
      </w:r>
      <w:r w:rsidR="004E6ED3">
        <w:rPr>
          <w:b w:val="0"/>
        </w:rPr>
        <w:t xml:space="preserve">broadly </w:t>
      </w:r>
      <w:r w:rsidR="00DF61DB">
        <w:rPr>
          <w:b w:val="0"/>
        </w:rPr>
        <w:t>interpret</w:t>
      </w:r>
      <w:r w:rsidR="004E6ED3">
        <w:rPr>
          <w:b w:val="0"/>
        </w:rPr>
        <w:t>ed,</w:t>
      </w:r>
      <w:r w:rsidR="00DF61DB">
        <w:rPr>
          <w:rStyle w:val="FootnoteReference"/>
          <w:b w:val="0"/>
        </w:rPr>
        <w:footnoteReference w:id="22"/>
      </w:r>
      <w:r w:rsidR="004E6ED3">
        <w:rPr>
          <w:b w:val="0"/>
        </w:rPr>
        <w:t xml:space="preserve"> </w:t>
      </w:r>
      <w:r w:rsidR="00405A2D">
        <w:rPr>
          <w:b w:val="0"/>
        </w:rPr>
        <w:t xml:space="preserve">requires the materials to be arranged in a systematic or methodical way and to be individually accessible.  </w:t>
      </w:r>
      <w:r w:rsidR="00570ACE" w:rsidRPr="006F2378">
        <w:rPr>
          <w:b w:val="0"/>
        </w:rPr>
        <w:t xml:space="preserve"> </w:t>
      </w:r>
    </w:p>
    <w:p w14:paraId="5FAFF9FB" w14:textId="107A8358" w:rsidR="00570ACE" w:rsidRDefault="00570ACE" w:rsidP="00570ACE">
      <w:pPr>
        <w:pStyle w:val="Titoloperindice"/>
        <w:rPr>
          <w:b w:val="0"/>
        </w:rPr>
      </w:pPr>
      <w:r w:rsidRPr="006F2378">
        <w:rPr>
          <w:b w:val="0"/>
        </w:rPr>
        <w:t xml:space="preserve">In the AI field, </w:t>
      </w:r>
      <w:r w:rsidR="004E6ED3">
        <w:rPr>
          <w:b w:val="0"/>
        </w:rPr>
        <w:t xml:space="preserve">most of the issues under discussion seem to relate to </w:t>
      </w:r>
      <w:r w:rsidRPr="006F2378">
        <w:rPr>
          <w:b w:val="0"/>
        </w:rPr>
        <w:t>data lakes</w:t>
      </w:r>
      <w:r w:rsidR="004E6ED3">
        <w:rPr>
          <w:b w:val="0"/>
        </w:rPr>
        <w:t>.</w:t>
      </w:r>
      <w:r w:rsidR="00405A2D">
        <w:rPr>
          <w:rStyle w:val="FootnoteReference"/>
          <w:b w:val="0"/>
        </w:rPr>
        <w:footnoteReference w:id="23"/>
      </w:r>
      <w:r w:rsidR="00405A2D">
        <w:rPr>
          <w:b w:val="0"/>
        </w:rPr>
        <w:t xml:space="preserve"> However,</w:t>
      </w:r>
      <w:r w:rsidR="00405A2D" w:rsidRPr="00405A2D">
        <w:rPr>
          <w:b w:val="0"/>
        </w:rPr>
        <w:t xml:space="preserve"> they are</w:t>
      </w:r>
      <w:r w:rsidRPr="006F2378">
        <w:rPr>
          <w:b w:val="0"/>
        </w:rPr>
        <w:t xml:space="preserve"> not </w:t>
      </w:r>
      <w:proofErr w:type="gramStart"/>
      <w:r w:rsidRPr="006F2378">
        <w:rPr>
          <w:b w:val="0"/>
        </w:rPr>
        <w:t>taken into account</w:t>
      </w:r>
      <w:proofErr w:type="gramEnd"/>
      <w:r w:rsidRPr="006F2378">
        <w:rPr>
          <w:b w:val="0"/>
        </w:rPr>
        <w:t xml:space="preserve"> for the purposes of</w:t>
      </w:r>
      <w:r w:rsidR="003949E8">
        <w:rPr>
          <w:b w:val="0"/>
        </w:rPr>
        <w:t xml:space="preserve"> this paper</w:t>
      </w:r>
      <w:r w:rsidR="004E6ED3">
        <w:rPr>
          <w:b w:val="0"/>
        </w:rPr>
        <w:t xml:space="preserve">, which </w:t>
      </w:r>
      <w:r w:rsidR="003949E8">
        <w:rPr>
          <w:b w:val="0"/>
        </w:rPr>
        <w:t xml:space="preserve">focuses on </w:t>
      </w:r>
      <w:r w:rsidRPr="006F2378">
        <w:rPr>
          <w:b w:val="0"/>
        </w:rPr>
        <w:t>databases as</w:t>
      </w:r>
      <w:r w:rsidR="003949E8">
        <w:rPr>
          <w:b w:val="0"/>
        </w:rPr>
        <w:t xml:space="preserve"> the output </w:t>
      </w:r>
      <w:r w:rsidRPr="006F2378">
        <w:rPr>
          <w:b w:val="0"/>
        </w:rPr>
        <w:t>of AI systems</w:t>
      </w:r>
      <w:r w:rsidR="003949E8">
        <w:rPr>
          <w:b w:val="0"/>
        </w:rPr>
        <w:t xml:space="preserve"> activities</w:t>
      </w:r>
      <w:r w:rsidRPr="006F2378">
        <w:rPr>
          <w:b w:val="0"/>
        </w:rPr>
        <w:t>.</w:t>
      </w:r>
    </w:p>
    <w:p w14:paraId="25634481" w14:textId="77777777" w:rsidR="00570ACE" w:rsidRPr="006F2378" w:rsidRDefault="00570ACE" w:rsidP="00570ACE">
      <w:pPr>
        <w:pStyle w:val="Titoloperindice"/>
        <w:rPr>
          <w:b w:val="0"/>
        </w:rPr>
      </w:pPr>
    </w:p>
    <w:p w14:paraId="26AAC760" w14:textId="6F039A0B" w:rsidR="00860F04" w:rsidRDefault="00406723" w:rsidP="00571899">
      <w:pPr>
        <w:pStyle w:val="Titoloperindice"/>
        <w:numPr>
          <w:ilvl w:val="0"/>
          <w:numId w:val="2"/>
        </w:numPr>
      </w:pPr>
      <w:r>
        <w:t>Obtaining, verification, and presentation of a database’s contents. The issues with the creating-obtaining dichotomy.</w:t>
      </w:r>
    </w:p>
    <w:p w14:paraId="081A93B8" w14:textId="77777777" w:rsidR="0033593C" w:rsidRDefault="0033593C" w:rsidP="0033593C">
      <w:pPr>
        <w:spacing w:after="0" w:line="240" w:lineRule="auto"/>
        <w:ind w:left="66"/>
        <w:jc w:val="both"/>
        <w:rPr>
          <w:rFonts w:ascii="Times New Roman" w:hAnsi="Times New Roman" w:cs="Times New Roman"/>
          <w:b/>
          <w:sz w:val="24"/>
          <w:szCs w:val="24"/>
        </w:rPr>
      </w:pPr>
    </w:p>
    <w:p w14:paraId="5147DE48" w14:textId="2EA461F7" w:rsidR="00B25116" w:rsidRDefault="00406723" w:rsidP="0033593C">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Under</w:t>
      </w:r>
      <w:r w:rsidR="0033593C">
        <w:rPr>
          <w:rFonts w:ascii="Times New Roman" w:hAnsi="Times New Roman" w:cs="Times New Roman"/>
          <w:sz w:val="24"/>
          <w:szCs w:val="24"/>
        </w:rPr>
        <w:t xml:space="preserve"> </w:t>
      </w:r>
      <w:r>
        <w:rPr>
          <w:rFonts w:ascii="Times New Roman" w:hAnsi="Times New Roman" w:cs="Times New Roman"/>
          <w:sz w:val="24"/>
          <w:szCs w:val="24"/>
        </w:rPr>
        <w:t>A</w:t>
      </w:r>
      <w:r w:rsidR="0033593C">
        <w:rPr>
          <w:rFonts w:ascii="Times New Roman" w:hAnsi="Times New Roman" w:cs="Times New Roman"/>
          <w:sz w:val="24"/>
          <w:szCs w:val="24"/>
        </w:rPr>
        <w:t>rticle 7</w:t>
      </w:r>
      <w:r>
        <w:rPr>
          <w:rFonts w:ascii="Times New Roman" w:hAnsi="Times New Roman" w:cs="Times New Roman"/>
          <w:sz w:val="24"/>
          <w:szCs w:val="24"/>
        </w:rPr>
        <w:t>(</w:t>
      </w:r>
      <w:r w:rsidR="00B25116">
        <w:rPr>
          <w:rFonts w:ascii="Times New Roman" w:hAnsi="Times New Roman" w:cs="Times New Roman"/>
          <w:sz w:val="24"/>
          <w:szCs w:val="24"/>
        </w:rPr>
        <w:t>1</w:t>
      </w:r>
      <w:r>
        <w:rPr>
          <w:rFonts w:ascii="Times New Roman" w:hAnsi="Times New Roman" w:cs="Times New Roman"/>
          <w:sz w:val="24"/>
          <w:szCs w:val="24"/>
        </w:rPr>
        <w:t>)</w:t>
      </w:r>
      <w:r w:rsidR="0033593C">
        <w:rPr>
          <w:rFonts w:ascii="Times New Roman" w:hAnsi="Times New Roman" w:cs="Times New Roman"/>
          <w:sz w:val="24"/>
          <w:szCs w:val="24"/>
        </w:rPr>
        <w:t xml:space="preserve"> of the Database Directive</w:t>
      </w:r>
      <w:r w:rsidR="004054DF">
        <w:rPr>
          <w:rFonts w:ascii="Times New Roman" w:hAnsi="Times New Roman" w:cs="Times New Roman"/>
          <w:sz w:val="24"/>
          <w:szCs w:val="24"/>
        </w:rPr>
        <w:t>:</w:t>
      </w:r>
    </w:p>
    <w:p w14:paraId="0C2BDC36" w14:textId="4D274174" w:rsidR="00B25116" w:rsidRDefault="00B25116" w:rsidP="0033593C">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14:paraId="7606DC0C" w14:textId="6D865D68" w:rsidR="00B25116" w:rsidRPr="00CD534A" w:rsidRDefault="004054DF" w:rsidP="0033593C">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w:t>
      </w:r>
      <w:r w:rsidR="00B25116">
        <w:rPr>
          <w:rFonts w:ascii="Times New Roman" w:hAnsi="Times New Roman" w:cs="Times New Roman"/>
          <w:i/>
          <w:sz w:val="24"/>
          <w:szCs w:val="24"/>
        </w:rPr>
        <w:t>Member States shall provide for a right for the maker of the database which shows that there has been qualitatively and/or quantitatively a substantial investment in either the obtaining, verification or presentation of the contents to prevent extraction of the whole or of a substantial part, evaluated qualitatively and/or quantitatively, of the contents of the database.</w:t>
      </w:r>
      <w:r>
        <w:rPr>
          <w:rFonts w:ascii="Times New Roman" w:hAnsi="Times New Roman" w:cs="Times New Roman"/>
          <w:sz w:val="24"/>
          <w:szCs w:val="24"/>
        </w:rPr>
        <w:t>”</w:t>
      </w:r>
    </w:p>
    <w:p w14:paraId="02F22E8B" w14:textId="77777777" w:rsidR="00B25116" w:rsidRDefault="00B25116" w:rsidP="0033593C">
      <w:pPr>
        <w:spacing w:after="0" w:line="240" w:lineRule="auto"/>
        <w:ind w:left="66"/>
        <w:jc w:val="both"/>
        <w:rPr>
          <w:rFonts w:ascii="Times New Roman" w:hAnsi="Times New Roman" w:cs="Times New Roman"/>
          <w:i/>
          <w:sz w:val="24"/>
          <w:szCs w:val="24"/>
        </w:rPr>
      </w:pPr>
    </w:p>
    <w:p w14:paraId="1A0EF35B" w14:textId="46DABB4B" w:rsidR="00437138" w:rsidRDefault="00B25116"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While the meaning of the expression “qualitatively and/or quantitatively a substantial investment” will be analyzed in the next </w:t>
      </w:r>
      <w:r w:rsidR="00406723">
        <w:rPr>
          <w:rFonts w:ascii="Times New Roman" w:hAnsi="Times New Roman" w:cs="Times New Roman"/>
          <w:sz w:val="24"/>
          <w:szCs w:val="24"/>
        </w:rPr>
        <w:t>section</w:t>
      </w:r>
      <w:r>
        <w:rPr>
          <w:rFonts w:ascii="Times New Roman" w:hAnsi="Times New Roman" w:cs="Times New Roman"/>
          <w:sz w:val="24"/>
          <w:szCs w:val="24"/>
        </w:rPr>
        <w:t xml:space="preserve">, here the focus will be </w:t>
      </w:r>
      <w:r w:rsidR="004054DF">
        <w:rPr>
          <w:rFonts w:ascii="Times New Roman" w:hAnsi="Times New Roman" w:cs="Times New Roman"/>
          <w:sz w:val="24"/>
          <w:szCs w:val="24"/>
        </w:rPr>
        <w:t>on</w:t>
      </w:r>
      <w:r>
        <w:rPr>
          <w:rFonts w:ascii="Times New Roman" w:hAnsi="Times New Roman" w:cs="Times New Roman"/>
          <w:sz w:val="24"/>
          <w:szCs w:val="24"/>
        </w:rPr>
        <w:t xml:space="preserve"> the “obtaining, verification or presentation of the contents”</w:t>
      </w:r>
      <w:r w:rsidR="00437138">
        <w:rPr>
          <w:rFonts w:ascii="Times New Roman" w:hAnsi="Times New Roman" w:cs="Times New Roman"/>
          <w:sz w:val="24"/>
          <w:szCs w:val="24"/>
        </w:rPr>
        <w:t xml:space="preserve">, and </w:t>
      </w:r>
      <w:proofErr w:type="gramStart"/>
      <w:r w:rsidR="00437138">
        <w:rPr>
          <w:rFonts w:ascii="Times New Roman" w:hAnsi="Times New Roman" w:cs="Times New Roman"/>
          <w:sz w:val="24"/>
          <w:szCs w:val="24"/>
        </w:rPr>
        <w:t xml:space="preserve">in particular </w:t>
      </w:r>
      <w:r w:rsidR="004054DF">
        <w:rPr>
          <w:rFonts w:ascii="Times New Roman" w:hAnsi="Times New Roman" w:cs="Times New Roman"/>
          <w:sz w:val="24"/>
          <w:szCs w:val="24"/>
        </w:rPr>
        <w:t>on</w:t>
      </w:r>
      <w:proofErr w:type="gramEnd"/>
      <w:r w:rsidR="00437138">
        <w:rPr>
          <w:rFonts w:ascii="Times New Roman" w:hAnsi="Times New Roman" w:cs="Times New Roman"/>
          <w:sz w:val="24"/>
          <w:szCs w:val="24"/>
        </w:rPr>
        <w:t xml:space="preserve"> the so-called </w:t>
      </w:r>
      <w:r w:rsidR="00406723">
        <w:rPr>
          <w:rFonts w:ascii="Times New Roman" w:hAnsi="Times New Roman" w:cs="Times New Roman"/>
          <w:sz w:val="24"/>
          <w:szCs w:val="24"/>
        </w:rPr>
        <w:t>creating</w:t>
      </w:r>
      <w:r w:rsidR="00437138">
        <w:rPr>
          <w:rFonts w:ascii="Times New Roman" w:hAnsi="Times New Roman" w:cs="Times New Roman"/>
          <w:sz w:val="24"/>
          <w:szCs w:val="24"/>
        </w:rPr>
        <w:t>/obtaining dichotomy.</w:t>
      </w:r>
    </w:p>
    <w:p w14:paraId="320EE7E7" w14:textId="77777777" w:rsidR="003F3E6B" w:rsidRDefault="003F3E6B" w:rsidP="00437138">
      <w:pPr>
        <w:spacing w:after="0" w:line="240" w:lineRule="auto"/>
        <w:ind w:left="66"/>
        <w:jc w:val="both"/>
        <w:rPr>
          <w:rFonts w:ascii="Times New Roman" w:hAnsi="Times New Roman" w:cs="Times New Roman"/>
          <w:sz w:val="24"/>
          <w:szCs w:val="24"/>
        </w:rPr>
      </w:pPr>
    </w:p>
    <w:p w14:paraId="447DFF92" w14:textId="618E64FE" w:rsidR="002C2C32" w:rsidRDefault="005C279A"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 xml:space="preserve">This dichotomy </w:t>
      </w:r>
      <w:r w:rsidR="004054DF">
        <w:rPr>
          <w:rFonts w:ascii="Times New Roman" w:hAnsi="Times New Roman" w:cs="Times New Roman"/>
          <w:sz w:val="24"/>
          <w:szCs w:val="24"/>
        </w:rPr>
        <w:t xml:space="preserve">arises from </w:t>
      </w:r>
      <w:r w:rsidR="003819F9">
        <w:rPr>
          <w:rFonts w:ascii="Times New Roman" w:hAnsi="Times New Roman" w:cs="Times New Roman"/>
          <w:sz w:val="24"/>
          <w:szCs w:val="24"/>
        </w:rPr>
        <w:t>f</w:t>
      </w:r>
      <w:r>
        <w:rPr>
          <w:rFonts w:ascii="Times New Roman" w:hAnsi="Times New Roman" w:cs="Times New Roman"/>
          <w:sz w:val="24"/>
          <w:szCs w:val="24"/>
        </w:rPr>
        <w:t>our 2004 CJEU judgments</w:t>
      </w:r>
      <w:r w:rsidR="00BF4637">
        <w:rPr>
          <w:rFonts w:ascii="Times New Roman" w:hAnsi="Times New Roman" w:cs="Times New Roman"/>
          <w:sz w:val="24"/>
          <w:szCs w:val="24"/>
        </w:rPr>
        <w:t xml:space="preserve">: </w:t>
      </w:r>
      <w:r w:rsidR="00BF4637" w:rsidRPr="00235B6B">
        <w:rPr>
          <w:rFonts w:ascii="Times New Roman" w:hAnsi="Times New Roman" w:cs="Times New Roman"/>
          <w:i/>
          <w:sz w:val="24"/>
          <w:szCs w:val="24"/>
        </w:rPr>
        <w:t>British Horseracing</w:t>
      </w:r>
      <w:r w:rsidR="00BF4637">
        <w:rPr>
          <w:rFonts w:ascii="Times New Roman" w:hAnsi="Times New Roman" w:cs="Times New Roman"/>
          <w:sz w:val="24"/>
          <w:szCs w:val="24"/>
        </w:rPr>
        <w:t xml:space="preserve">; </w:t>
      </w:r>
      <w:r w:rsidR="00BF4637" w:rsidRPr="00235B6B">
        <w:rPr>
          <w:rFonts w:ascii="Times New Roman" w:hAnsi="Times New Roman" w:cs="Times New Roman"/>
          <w:i/>
          <w:sz w:val="24"/>
          <w:szCs w:val="24"/>
        </w:rPr>
        <w:t>Fixtures-Svenska</w:t>
      </w:r>
      <w:r w:rsidR="00BF4637">
        <w:rPr>
          <w:rFonts w:ascii="Times New Roman" w:hAnsi="Times New Roman" w:cs="Times New Roman"/>
          <w:sz w:val="24"/>
          <w:szCs w:val="24"/>
        </w:rPr>
        <w:t xml:space="preserve">; </w:t>
      </w:r>
      <w:r w:rsidR="00BF4637" w:rsidRPr="00235B6B">
        <w:rPr>
          <w:rFonts w:ascii="Times New Roman" w:hAnsi="Times New Roman" w:cs="Times New Roman"/>
          <w:i/>
          <w:sz w:val="24"/>
          <w:szCs w:val="24"/>
        </w:rPr>
        <w:t>Fixtures-Oy</w:t>
      </w:r>
      <w:r w:rsidR="00BF4637">
        <w:rPr>
          <w:rFonts w:ascii="Times New Roman" w:hAnsi="Times New Roman" w:cs="Times New Roman"/>
          <w:sz w:val="24"/>
          <w:szCs w:val="24"/>
        </w:rPr>
        <w:t xml:space="preserve">; </w:t>
      </w:r>
      <w:r w:rsidR="00BF4637" w:rsidRPr="00235B6B">
        <w:rPr>
          <w:rFonts w:ascii="Times New Roman" w:hAnsi="Times New Roman" w:cs="Times New Roman"/>
          <w:i/>
          <w:sz w:val="24"/>
          <w:szCs w:val="24"/>
        </w:rPr>
        <w:t>Fixtures-OPAP</w:t>
      </w:r>
      <w:r w:rsidR="004054DF">
        <w:rPr>
          <w:rFonts w:ascii="Times New Roman" w:hAnsi="Times New Roman" w:cs="Times New Roman"/>
          <w:i/>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In all four cases, the Court stated that, in order to assess whether the maker of the database has </w:t>
      </w:r>
      <w:r w:rsidR="003D37DE">
        <w:rPr>
          <w:rFonts w:ascii="Times New Roman" w:hAnsi="Times New Roman" w:cs="Times New Roman"/>
          <w:sz w:val="24"/>
          <w:szCs w:val="24"/>
        </w:rPr>
        <w:t>invested substantially in obtaining the database’s contents</w:t>
      </w:r>
      <w:r>
        <w:rPr>
          <w:rFonts w:ascii="Times New Roman" w:hAnsi="Times New Roman" w:cs="Times New Roman"/>
          <w:sz w:val="24"/>
          <w:szCs w:val="24"/>
        </w:rPr>
        <w:t>,</w:t>
      </w:r>
      <w:r w:rsidR="00255003">
        <w:rPr>
          <w:rFonts w:ascii="Times New Roman" w:hAnsi="Times New Roman" w:cs="Times New Roman"/>
          <w:sz w:val="24"/>
          <w:szCs w:val="24"/>
        </w:rPr>
        <w:t xml:space="preserve"> the resources used to create the elements collected </w:t>
      </w:r>
      <w:r w:rsidR="004054DF">
        <w:rPr>
          <w:rFonts w:ascii="Times New Roman" w:hAnsi="Times New Roman" w:cs="Times New Roman"/>
          <w:sz w:val="24"/>
          <w:szCs w:val="24"/>
        </w:rPr>
        <w:t xml:space="preserve">should </w:t>
      </w:r>
      <w:r w:rsidR="0078118B">
        <w:rPr>
          <w:rFonts w:ascii="Times New Roman" w:hAnsi="Times New Roman" w:cs="Times New Roman"/>
          <w:sz w:val="24"/>
          <w:szCs w:val="24"/>
        </w:rPr>
        <w:t>not be taken into account</w:t>
      </w:r>
      <w:r w:rsidR="004054DF">
        <w:rPr>
          <w:rFonts w:ascii="Times New Roman" w:hAnsi="Times New Roman" w:cs="Times New Roman"/>
          <w:sz w:val="24"/>
          <w:szCs w:val="24"/>
        </w:rPr>
        <w:t>.</w:t>
      </w:r>
      <w:r w:rsidR="0078118B">
        <w:rPr>
          <w:rStyle w:val="FootnoteReference"/>
          <w:rFonts w:ascii="Times New Roman" w:hAnsi="Times New Roman" w:cs="Times New Roman"/>
          <w:sz w:val="24"/>
          <w:szCs w:val="24"/>
        </w:rPr>
        <w:footnoteReference w:id="25"/>
      </w:r>
      <w:r w:rsidR="00260ADC">
        <w:rPr>
          <w:rFonts w:ascii="Times New Roman" w:hAnsi="Times New Roman" w:cs="Times New Roman"/>
          <w:sz w:val="24"/>
          <w:szCs w:val="24"/>
        </w:rPr>
        <w:t xml:space="preserve"> </w:t>
      </w:r>
      <w:r w:rsidR="004054DF">
        <w:rPr>
          <w:rFonts w:ascii="Times New Roman" w:hAnsi="Times New Roman" w:cs="Times New Roman"/>
          <w:sz w:val="24"/>
          <w:szCs w:val="24"/>
        </w:rPr>
        <w:t>In reaching this conclusion, t</w:t>
      </w:r>
      <w:r w:rsidR="00DE4A12">
        <w:rPr>
          <w:rFonts w:ascii="Times New Roman" w:hAnsi="Times New Roman" w:cs="Times New Roman"/>
          <w:sz w:val="24"/>
          <w:szCs w:val="24"/>
        </w:rPr>
        <w:t>he CJEU</w:t>
      </w:r>
      <w:r w:rsidR="00667CAB">
        <w:rPr>
          <w:rFonts w:ascii="Times New Roman" w:hAnsi="Times New Roman" w:cs="Times New Roman"/>
          <w:sz w:val="24"/>
          <w:szCs w:val="24"/>
        </w:rPr>
        <w:t xml:space="preserve"> relied on several </w:t>
      </w:r>
      <w:r w:rsidR="000E59CC">
        <w:rPr>
          <w:rFonts w:ascii="Times New Roman" w:hAnsi="Times New Roman" w:cs="Times New Roman"/>
          <w:sz w:val="24"/>
          <w:szCs w:val="24"/>
        </w:rPr>
        <w:t>recitals of the Directive, seeing as decisive the fa</w:t>
      </w:r>
      <w:r w:rsidR="00CD534A">
        <w:rPr>
          <w:rFonts w:ascii="Times New Roman" w:hAnsi="Times New Roman" w:cs="Times New Roman"/>
          <w:sz w:val="24"/>
          <w:szCs w:val="24"/>
        </w:rPr>
        <w:t>ct that, according to Re</w:t>
      </w:r>
      <w:r w:rsidR="000E59CC">
        <w:rPr>
          <w:rFonts w:ascii="Times New Roman" w:hAnsi="Times New Roman" w:cs="Times New Roman"/>
          <w:sz w:val="24"/>
          <w:szCs w:val="24"/>
        </w:rPr>
        <w:t>citals</w:t>
      </w:r>
      <w:r w:rsidR="00CD534A">
        <w:rPr>
          <w:rFonts w:ascii="Times New Roman" w:hAnsi="Times New Roman" w:cs="Times New Roman"/>
          <w:sz w:val="24"/>
          <w:szCs w:val="24"/>
        </w:rPr>
        <w:t xml:space="preserve"> 9, 10 and 12</w:t>
      </w:r>
      <w:r w:rsidR="00AA31EB">
        <w:rPr>
          <w:rFonts w:ascii="Times New Roman" w:hAnsi="Times New Roman" w:cs="Times New Roman"/>
          <w:sz w:val="24"/>
          <w:szCs w:val="24"/>
        </w:rPr>
        <w:t>, the aim of the Directive is to incentivize and protect investments in the development of storage and processing systems</w:t>
      </w:r>
      <w:r w:rsidR="004054DF">
        <w:rPr>
          <w:rFonts w:ascii="Times New Roman" w:hAnsi="Times New Roman" w:cs="Times New Roman"/>
          <w:sz w:val="24"/>
          <w:szCs w:val="24"/>
        </w:rPr>
        <w:t>.</w:t>
      </w:r>
      <w:r w:rsidR="00AA31EB">
        <w:rPr>
          <w:rStyle w:val="FootnoteReference"/>
          <w:rFonts w:ascii="Times New Roman" w:hAnsi="Times New Roman" w:cs="Times New Roman"/>
          <w:sz w:val="24"/>
          <w:szCs w:val="24"/>
        </w:rPr>
        <w:footnoteReference w:id="26"/>
      </w:r>
      <w:r w:rsidR="005442E1">
        <w:rPr>
          <w:rFonts w:ascii="Times New Roman" w:hAnsi="Times New Roman" w:cs="Times New Roman"/>
          <w:sz w:val="24"/>
          <w:szCs w:val="24"/>
        </w:rPr>
        <w:t xml:space="preserve"> Furthermore, in </w:t>
      </w:r>
      <w:r w:rsidR="00CB1809">
        <w:rPr>
          <w:rFonts w:ascii="Times New Roman" w:hAnsi="Times New Roman" w:cs="Times New Roman"/>
          <w:sz w:val="24"/>
          <w:szCs w:val="24"/>
        </w:rPr>
        <w:t>R</w:t>
      </w:r>
      <w:r w:rsidR="005442E1">
        <w:rPr>
          <w:rFonts w:ascii="Times New Roman" w:hAnsi="Times New Roman" w:cs="Times New Roman"/>
          <w:sz w:val="24"/>
          <w:szCs w:val="24"/>
        </w:rPr>
        <w:t xml:space="preserve">ecital </w:t>
      </w:r>
      <w:r w:rsidR="00CB1809">
        <w:rPr>
          <w:rFonts w:ascii="Times New Roman" w:hAnsi="Times New Roman" w:cs="Times New Roman"/>
          <w:sz w:val="24"/>
          <w:szCs w:val="24"/>
        </w:rPr>
        <w:t>39</w:t>
      </w:r>
      <w:r w:rsidR="005442E1">
        <w:rPr>
          <w:rFonts w:ascii="Times New Roman" w:hAnsi="Times New Roman" w:cs="Times New Roman"/>
          <w:sz w:val="24"/>
          <w:szCs w:val="24"/>
        </w:rPr>
        <w:t xml:space="preserve"> </w:t>
      </w:r>
      <w:r w:rsidR="004054DF">
        <w:rPr>
          <w:rFonts w:ascii="Times New Roman" w:hAnsi="Times New Roman" w:cs="Times New Roman"/>
          <w:sz w:val="24"/>
          <w:szCs w:val="24"/>
        </w:rPr>
        <w:t xml:space="preserve">the Court found </w:t>
      </w:r>
      <w:r w:rsidR="005442E1">
        <w:rPr>
          <w:rFonts w:ascii="Times New Roman" w:hAnsi="Times New Roman" w:cs="Times New Roman"/>
          <w:sz w:val="24"/>
          <w:szCs w:val="24"/>
        </w:rPr>
        <w:t>a</w:t>
      </w:r>
      <w:r w:rsidR="00A93CE7">
        <w:rPr>
          <w:rFonts w:ascii="Times New Roman" w:hAnsi="Times New Roman" w:cs="Times New Roman"/>
          <w:sz w:val="24"/>
          <w:szCs w:val="24"/>
        </w:rPr>
        <w:t>nother</w:t>
      </w:r>
      <w:r w:rsidR="009B1DBC">
        <w:rPr>
          <w:rFonts w:ascii="Times New Roman" w:hAnsi="Times New Roman" w:cs="Times New Roman"/>
          <w:sz w:val="24"/>
          <w:szCs w:val="24"/>
        </w:rPr>
        <w:t xml:space="preserve"> argument in support of</w:t>
      </w:r>
      <w:r w:rsidR="00A93CE7">
        <w:rPr>
          <w:rFonts w:ascii="Times New Roman" w:hAnsi="Times New Roman" w:cs="Times New Roman"/>
          <w:sz w:val="24"/>
          <w:szCs w:val="24"/>
        </w:rPr>
        <w:t xml:space="preserve"> its thesis. </w:t>
      </w:r>
      <w:r w:rsidR="004054DF">
        <w:rPr>
          <w:rFonts w:ascii="Times New Roman" w:hAnsi="Times New Roman" w:cs="Times New Roman"/>
          <w:sz w:val="24"/>
          <w:szCs w:val="24"/>
        </w:rPr>
        <w:t>A</w:t>
      </w:r>
      <w:r w:rsidR="00A93CE7">
        <w:rPr>
          <w:rFonts w:ascii="Times New Roman" w:hAnsi="Times New Roman" w:cs="Times New Roman"/>
          <w:sz w:val="24"/>
          <w:szCs w:val="24"/>
        </w:rPr>
        <w:t>ccordi</w:t>
      </w:r>
      <w:r w:rsidR="00CD534A">
        <w:rPr>
          <w:rFonts w:ascii="Times New Roman" w:hAnsi="Times New Roman" w:cs="Times New Roman"/>
          <w:sz w:val="24"/>
          <w:szCs w:val="24"/>
        </w:rPr>
        <w:t xml:space="preserve">ng </w:t>
      </w:r>
      <w:r w:rsidR="004054DF">
        <w:rPr>
          <w:rFonts w:ascii="Times New Roman" w:hAnsi="Times New Roman" w:cs="Times New Roman"/>
          <w:sz w:val="24"/>
          <w:szCs w:val="24"/>
        </w:rPr>
        <w:t>to Recital 39, “</w:t>
      </w:r>
      <w:r w:rsidR="00A93CE7">
        <w:rPr>
          <w:rFonts w:ascii="Times New Roman" w:hAnsi="Times New Roman" w:cs="Times New Roman"/>
          <w:i/>
          <w:sz w:val="24"/>
          <w:szCs w:val="24"/>
        </w:rPr>
        <w:t xml:space="preserve">this Directive seeks to safeguard </w:t>
      </w:r>
      <w:r w:rsidR="00A93CE7">
        <w:rPr>
          <w:rFonts w:ascii="Times New Roman" w:hAnsi="Times New Roman" w:cs="Times New Roman"/>
          <w:sz w:val="24"/>
          <w:szCs w:val="24"/>
        </w:rPr>
        <w:t xml:space="preserve">[…] </w:t>
      </w:r>
      <w:r w:rsidR="00A93CE7">
        <w:rPr>
          <w:rFonts w:ascii="Times New Roman" w:hAnsi="Times New Roman" w:cs="Times New Roman"/>
          <w:i/>
          <w:sz w:val="24"/>
          <w:szCs w:val="24"/>
        </w:rPr>
        <w:t>against misappropriation of the results of the financial and professional investment made in obtaining and collection the contents</w:t>
      </w:r>
      <w:r w:rsidR="00A93CE7">
        <w:rPr>
          <w:rFonts w:ascii="Times New Roman" w:hAnsi="Times New Roman" w:cs="Times New Roman"/>
          <w:sz w:val="24"/>
          <w:szCs w:val="24"/>
        </w:rPr>
        <w:t xml:space="preserve"> […]</w:t>
      </w:r>
      <w:r w:rsidR="004054DF">
        <w:rPr>
          <w:rFonts w:ascii="Times New Roman" w:hAnsi="Times New Roman" w:cs="Times New Roman"/>
          <w:sz w:val="24"/>
          <w:szCs w:val="24"/>
        </w:rPr>
        <w:t>”</w:t>
      </w:r>
      <w:r w:rsidR="009B1DBC">
        <w:rPr>
          <w:rFonts w:ascii="Times New Roman" w:hAnsi="Times New Roman" w:cs="Times New Roman"/>
          <w:sz w:val="24"/>
          <w:szCs w:val="24"/>
        </w:rPr>
        <w:t>.</w:t>
      </w:r>
      <w:r w:rsidR="00A93CE7">
        <w:rPr>
          <w:rStyle w:val="FootnoteReference"/>
          <w:rFonts w:ascii="Times New Roman" w:hAnsi="Times New Roman" w:cs="Times New Roman"/>
          <w:sz w:val="24"/>
          <w:szCs w:val="24"/>
        </w:rPr>
        <w:footnoteReference w:id="27"/>
      </w:r>
    </w:p>
    <w:p w14:paraId="00E356EC" w14:textId="77777777" w:rsidR="003F3E6B" w:rsidRDefault="003F3E6B" w:rsidP="00437138">
      <w:pPr>
        <w:spacing w:after="0" w:line="240" w:lineRule="auto"/>
        <w:ind w:left="66"/>
        <w:jc w:val="both"/>
        <w:rPr>
          <w:rFonts w:ascii="Times New Roman" w:hAnsi="Times New Roman" w:cs="Times New Roman"/>
          <w:sz w:val="24"/>
          <w:szCs w:val="24"/>
        </w:rPr>
      </w:pPr>
    </w:p>
    <w:p w14:paraId="6B605741" w14:textId="7BBCC173" w:rsidR="002759CA" w:rsidRDefault="002C2C32"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Before</w:t>
      </w:r>
      <w:r w:rsidR="00510011">
        <w:rPr>
          <w:rFonts w:ascii="Times New Roman" w:hAnsi="Times New Roman" w:cs="Times New Roman"/>
          <w:sz w:val="24"/>
          <w:szCs w:val="24"/>
        </w:rPr>
        <w:t xml:space="preserve"> examining the </w:t>
      </w:r>
      <w:r w:rsidR="003D37DE">
        <w:rPr>
          <w:rFonts w:ascii="Times New Roman" w:hAnsi="Times New Roman" w:cs="Times New Roman"/>
          <w:sz w:val="24"/>
          <w:szCs w:val="24"/>
        </w:rPr>
        <w:t>aftermath of</w:t>
      </w:r>
      <w:r>
        <w:rPr>
          <w:rFonts w:ascii="Times New Roman" w:hAnsi="Times New Roman" w:cs="Times New Roman"/>
          <w:sz w:val="24"/>
          <w:szCs w:val="24"/>
        </w:rPr>
        <w:t xml:space="preserve"> these decisions, </w:t>
      </w:r>
      <w:proofErr w:type="gramStart"/>
      <w:r>
        <w:rPr>
          <w:rFonts w:ascii="Times New Roman" w:hAnsi="Times New Roman" w:cs="Times New Roman"/>
          <w:sz w:val="24"/>
          <w:szCs w:val="24"/>
        </w:rPr>
        <w:t xml:space="preserve">it should be pointed out that </w:t>
      </w:r>
      <w:r w:rsidR="00510011">
        <w:rPr>
          <w:rFonts w:ascii="Times New Roman" w:hAnsi="Times New Roman" w:cs="Times New Roman"/>
          <w:sz w:val="24"/>
          <w:szCs w:val="24"/>
        </w:rPr>
        <w:t>the</w:t>
      </w:r>
      <w:proofErr w:type="gramEnd"/>
      <w:r w:rsidR="00510011">
        <w:rPr>
          <w:rFonts w:ascii="Times New Roman" w:hAnsi="Times New Roman" w:cs="Times New Roman"/>
          <w:sz w:val="24"/>
          <w:szCs w:val="24"/>
        </w:rPr>
        <w:t xml:space="preserve"> conclusion reached by</w:t>
      </w:r>
      <w:r w:rsidR="009B1DBC">
        <w:rPr>
          <w:rFonts w:ascii="Times New Roman" w:hAnsi="Times New Roman" w:cs="Times New Roman"/>
          <w:sz w:val="24"/>
          <w:szCs w:val="24"/>
        </w:rPr>
        <w:t xml:space="preserve"> the Advocate General – Ms. </w:t>
      </w:r>
      <w:r w:rsidR="00510011">
        <w:rPr>
          <w:rFonts w:ascii="Times New Roman" w:hAnsi="Times New Roman" w:cs="Times New Roman"/>
          <w:sz w:val="24"/>
          <w:szCs w:val="24"/>
        </w:rPr>
        <w:t xml:space="preserve">Stix-Hackl – was different. </w:t>
      </w:r>
      <w:r w:rsidR="004054DF">
        <w:rPr>
          <w:rFonts w:ascii="Times New Roman" w:hAnsi="Times New Roman" w:cs="Times New Roman"/>
          <w:sz w:val="24"/>
          <w:szCs w:val="24"/>
        </w:rPr>
        <w:t xml:space="preserve">She made a distinction between </w:t>
      </w:r>
      <w:r w:rsidR="006C0FF5">
        <w:rPr>
          <w:rFonts w:ascii="Times New Roman" w:hAnsi="Times New Roman" w:cs="Times New Roman"/>
          <w:sz w:val="24"/>
          <w:szCs w:val="24"/>
        </w:rPr>
        <w:t xml:space="preserve">the mere creation of data </w:t>
      </w:r>
      <w:r w:rsidR="004054DF">
        <w:rPr>
          <w:rFonts w:ascii="Times New Roman" w:hAnsi="Times New Roman" w:cs="Times New Roman"/>
          <w:sz w:val="24"/>
          <w:szCs w:val="24"/>
        </w:rPr>
        <w:t xml:space="preserve">and instances </w:t>
      </w:r>
      <w:r w:rsidR="006C0FF5">
        <w:rPr>
          <w:rFonts w:ascii="Times New Roman" w:hAnsi="Times New Roman" w:cs="Times New Roman"/>
          <w:sz w:val="24"/>
          <w:szCs w:val="24"/>
        </w:rPr>
        <w:t xml:space="preserve">in which </w:t>
      </w:r>
      <w:r w:rsidR="004054DF">
        <w:rPr>
          <w:rFonts w:ascii="Times New Roman" w:hAnsi="Times New Roman" w:cs="Times New Roman"/>
          <w:sz w:val="24"/>
          <w:szCs w:val="24"/>
        </w:rPr>
        <w:t xml:space="preserve">such </w:t>
      </w:r>
      <w:r w:rsidR="006C0FF5">
        <w:rPr>
          <w:rFonts w:ascii="Times New Roman" w:hAnsi="Times New Roman" w:cs="Times New Roman"/>
          <w:sz w:val="24"/>
          <w:szCs w:val="24"/>
        </w:rPr>
        <w:t>creation coincide</w:t>
      </w:r>
      <w:r w:rsidR="003D37DE">
        <w:rPr>
          <w:rFonts w:ascii="Times New Roman" w:hAnsi="Times New Roman" w:cs="Times New Roman"/>
          <w:sz w:val="24"/>
          <w:szCs w:val="24"/>
        </w:rPr>
        <w:t>d</w:t>
      </w:r>
      <w:r w:rsidR="006C0FF5">
        <w:rPr>
          <w:rFonts w:ascii="Times New Roman" w:hAnsi="Times New Roman" w:cs="Times New Roman"/>
          <w:sz w:val="24"/>
          <w:szCs w:val="24"/>
        </w:rPr>
        <w:t xml:space="preserve"> with the processing of it</w:t>
      </w:r>
      <w:r w:rsidR="00514DD0">
        <w:rPr>
          <w:rFonts w:ascii="Times New Roman" w:hAnsi="Times New Roman" w:cs="Times New Roman"/>
          <w:sz w:val="24"/>
          <w:szCs w:val="24"/>
        </w:rPr>
        <w:t>, holding that in the latter</w:t>
      </w:r>
      <w:r w:rsidR="00733F22">
        <w:rPr>
          <w:rFonts w:ascii="Times New Roman" w:hAnsi="Times New Roman" w:cs="Times New Roman"/>
          <w:sz w:val="24"/>
          <w:szCs w:val="24"/>
        </w:rPr>
        <w:t xml:space="preserve"> case</w:t>
      </w:r>
      <w:r w:rsidR="00514DD0">
        <w:rPr>
          <w:rFonts w:ascii="Times New Roman" w:hAnsi="Times New Roman" w:cs="Times New Roman"/>
          <w:sz w:val="24"/>
          <w:szCs w:val="24"/>
        </w:rPr>
        <w:t xml:space="preserve">, when the two activities are not separable, the protection </w:t>
      </w:r>
      <w:r w:rsidR="00733F22">
        <w:rPr>
          <w:rFonts w:ascii="Times New Roman" w:hAnsi="Times New Roman" w:cs="Times New Roman"/>
          <w:sz w:val="24"/>
          <w:szCs w:val="24"/>
        </w:rPr>
        <w:t>applies</w:t>
      </w:r>
      <w:r w:rsidR="006C0FF5">
        <w:rPr>
          <w:rFonts w:ascii="Times New Roman" w:hAnsi="Times New Roman" w:cs="Times New Roman"/>
          <w:sz w:val="24"/>
          <w:szCs w:val="24"/>
        </w:rPr>
        <w:t>.</w:t>
      </w:r>
      <w:r w:rsidR="006C0FF5">
        <w:rPr>
          <w:rStyle w:val="FootnoteReference"/>
          <w:rFonts w:ascii="Times New Roman" w:hAnsi="Times New Roman" w:cs="Times New Roman"/>
          <w:sz w:val="24"/>
          <w:szCs w:val="24"/>
        </w:rPr>
        <w:footnoteReference w:id="28"/>
      </w:r>
    </w:p>
    <w:p w14:paraId="518EF678" w14:textId="77777777" w:rsidR="003F3E6B" w:rsidRDefault="003F3E6B" w:rsidP="00437138">
      <w:pPr>
        <w:spacing w:after="0" w:line="240" w:lineRule="auto"/>
        <w:ind w:left="66"/>
        <w:jc w:val="both"/>
        <w:rPr>
          <w:rFonts w:ascii="Times New Roman" w:hAnsi="Times New Roman" w:cs="Times New Roman"/>
          <w:sz w:val="24"/>
          <w:szCs w:val="24"/>
        </w:rPr>
      </w:pPr>
    </w:p>
    <w:p w14:paraId="4804A3A5" w14:textId="4EECFF4E" w:rsidR="00960CBD" w:rsidRDefault="003D37DE"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Academic commentary on</w:t>
      </w:r>
      <w:r w:rsidR="00761F62">
        <w:rPr>
          <w:rFonts w:ascii="Times New Roman" w:hAnsi="Times New Roman" w:cs="Times New Roman"/>
          <w:sz w:val="24"/>
          <w:szCs w:val="24"/>
        </w:rPr>
        <w:t xml:space="preserve"> the consequences of these decisions </w:t>
      </w:r>
      <w:r>
        <w:rPr>
          <w:rFonts w:ascii="Times New Roman" w:hAnsi="Times New Roman" w:cs="Times New Roman"/>
          <w:sz w:val="24"/>
          <w:szCs w:val="24"/>
        </w:rPr>
        <w:t xml:space="preserve">presents a </w:t>
      </w:r>
      <w:r w:rsidR="00733F22">
        <w:rPr>
          <w:rFonts w:ascii="Times New Roman" w:hAnsi="Times New Roman" w:cs="Times New Roman"/>
          <w:sz w:val="24"/>
          <w:szCs w:val="24"/>
        </w:rPr>
        <w:t xml:space="preserve">wide </w:t>
      </w:r>
      <w:r>
        <w:rPr>
          <w:rFonts w:ascii="Times New Roman" w:hAnsi="Times New Roman" w:cs="Times New Roman"/>
          <w:sz w:val="24"/>
          <w:szCs w:val="24"/>
        </w:rPr>
        <w:t>range of opinions</w:t>
      </w:r>
      <w:r w:rsidR="00761F62">
        <w:rPr>
          <w:rFonts w:ascii="Times New Roman" w:hAnsi="Times New Roman" w:cs="Times New Roman"/>
          <w:sz w:val="24"/>
          <w:szCs w:val="24"/>
        </w:rPr>
        <w:t xml:space="preserve">.  </w:t>
      </w:r>
      <w:r w:rsidR="00733F22">
        <w:rPr>
          <w:rFonts w:ascii="Times New Roman" w:hAnsi="Times New Roman" w:cs="Times New Roman"/>
          <w:sz w:val="24"/>
          <w:szCs w:val="24"/>
        </w:rPr>
        <w:t>W</w:t>
      </w:r>
      <w:r w:rsidR="00761F62">
        <w:rPr>
          <w:rFonts w:ascii="Times New Roman" w:hAnsi="Times New Roman" w:cs="Times New Roman"/>
          <w:sz w:val="24"/>
          <w:szCs w:val="24"/>
        </w:rPr>
        <w:t xml:space="preserve">hile some authors </w:t>
      </w:r>
      <w:r w:rsidR="00733F22">
        <w:rPr>
          <w:rFonts w:ascii="Times New Roman" w:hAnsi="Times New Roman" w:cs="Times New Roman"/>
          <w:sz w:val="24"/>
          <w:szCs w:val="24"/>
        </w:rPr>
        <w:t xml:space="preserve">see </w:t>
      </w:r>
      <w:r w:rsidR="007C62A2">
        <w:rPr>
          <w:rFonts w:ascii="Times New Roman" w:hAnsi="Times New Roman" w:cs="Times New Roman"/>
          <w:sz w:val="24"/>
          <w:szCs w:val="24"/>
        </w:rPr>
        <w:t>the CJEU</w:t>
      </w:r>
      <w:r w:rsidR="00E7466C">
        <w:rPr>
          <w:rFonts w:ascii="Times New Roman" w:hAnsi="Times New Roman" w:cs="Times New Roman"/>
          <w:sz w:val="24"/>
          <w:szCs w:val="24"/>
        </w:rPr>
        <w:t xml:space="preserve"> interpretation </w:t>
      </w:r>
      <w:r w:rsidR="00733F22">
        <w:rPr>
          <w:rFonts w:ascii="Times New Roman" w:hAnsi="Times New Roman" w:cs="Times New Roman"/>
          <w:sz w:val="24"/>
          <w:szCs w:val="24"/>
        </w:rPr>
        <w:t xml:space="preserve">as positive </w:t>
      </w:r>
      <w:r w:rsidR="00DD46E1">
        <w:rPr>
          <w:rFonts w:ascii="Times New Roman" w:hAnsi="Times New Roman" w:cs="Times New Roman"/>
          <w:sz w:val="24"/>
          <w:szCs w:val="24"/>
        </w:rPr>
        <w:t xml:space="preserve">because of its anti-monopolistic effect </w:t>
      </w:r>
      <w:r w:rsidR="00733F22">
        <w:rPr>
          <w:rFonts w:ascii="Times New Roman" w:hAnsi="Times New Roman" w:cs="Times New Roman"/>
          <w:sz w:val="24"/>
          <w:szCs w:val="24"/>
        </w:rPr>
        <w:t xml:space="preserve">where </w:t>
      </w:r>
      <w:r w:rsidR="00DD46E1">
        <w:rPr>
          <w:rFonts w:ascii="Times New Roman" w:hAnsi="Times New Roman" w:cs="Times New Roman"/>
          <w:sz w:val="24"/>
          <w:szCs w:val="24"/>
        </w:rPr>
        <w:t>novel data</w:t>
      </w:r>
      <w:r w:rsidR="00733F22">
        <w:rPr>
          <w:rFonts w:ascii="Times New Roman" w:hAnsi="Times New Roman" w:cs="Times New Roman"/>
          <w:sz w:val="24"/>
          <w:szCs w:val="24"/>
        </w:rPr>
        <w:t xml:space="preserve"> is concerned,</w:t>
      </w:r>
      <w:r w:rsidR="007C62A2">
        <w:rPr>
          <w:rStyle w:val="FootnoteReference"/>
          <w:rFonts w:ascii="Times New Roman" w:hAnsi="Times New Roman" w:cs="Times New Roman"/>
          <w:sz w:val="24"/>
          <w:szCs w:val="24"/>
        </w:rPr>
        <w:footnoteReference w:id="29"/>
      </w:r>
      <w:r w:rsidR="00527037">
        <w:rPr>
          <w:rFonts w:ascii="Times New Roman" w:hAnsi="Times New Roman" w:cs="Times New Roman"/>
          <w:sz w:val="24"/>
          <w:szCs w:val="24"/>
        </w:rPr>
        <w:t xml:space="preserve"> others </w:t>
      </w:r>
      <w:r w:rsidR="00733F22">
        <w:rPr>
          <w:rFonts w:ascii="Times New Roman" w:hAnsi="Times New Roman" w:cs="Times New Roman"/>
          <w:sz w:val="24"/>
          <w:szCs w:val="24"/>
        </w:rPr>
        <w:t xml:space="preserve">do </w:t>
      </w:r>
      <w:r w:rsidR="00527037">
        <w:rPr>
          <w:rFonts w:ascii="Times New Roman" w:hAnsi="Times New Roman" w:cs="Times New Roman"/>
          <w:sz w:val="24"/>
          <w:szCs w:val="24"/>
        </w:rPr>
        <w:t xml:space="preserve">not consider these interventions </w:t>
      </w:r>
      <w:r w:rsidR="00733F22">
        <w:rPr>
          <w:rFonts w:ascii="Times New Roman" w:hAnsi="Times New Roman" w:cs="Times New Roman"/>
          <w:sz w:val="24"/>
          <w:szCs w:val="24"/>
        </w:rPr>
        <w:t xml:space="preserve">to be </w:t>
      </w:r>
      <w:r w:rsidR="004B357F">
        <w:rPr>
          <w:rFonts w:ascii="Times New Roman" w:hAnsi="Times New Roman" w:cs="Times New Roman"/>
          <w:sz w:val="24"/>
          <w:szCs w:val="24"/>
        </w:rPr>
        <w:t xml:space="preserve">effective in restricting the monopolistic effect of the </w:t>
      </w:r>
      <w:r w:rsidR="004B357F" w:rsidRPr="00F759E2">
        <w:rPr>
          <w:rFonts w:ascii="Times New Roman" w:hAnsi="Times New Roman" w:cs="Times New Roman"/>
          <w:sz w:val="24"/>
          <w:szCs w:val="24"/>
        </w:rPr>
        <w:t>sui generis</w:t>
      </w:r>
      <w:r w:rsidR="004B357F">
        <w:rPr>
          <w:rFonts w:ascii="Times New Roman" w:hAnsi="Times New Roman" w:cs="Times New Roman"/>
          <w:i/>
          <w:sz w:val="24"/>
          <w:szCs w:val="24"/>
        </w:rPr>
        <w:t xml:space="preserve"> </w:t>
      </w:r>
      <w:r w:rsidR="004B357F">
        <w:rPr>
          <w:rFonts w:ascii="Times New Roman" w:hAnsi="Times New Roman" w:cs="Times New Roman"/>
          <w:sz w:val="24"/>
          <w:szCs w:val="24"/>
        </w:rPr>
        <w:t>right</w:t>
      </w:r>
      <w:r w:rsidR="00733F22">
        <w:rPr>
          <w:rFonts w:ascii="Times New Roman" w:hAnsi="Times New Roman" w:cs="Times New Roman"/>
          <w:sz w:val="24"/>
          <w:szCs w:val="24"/>
        </w:rPr>
        <w:t>.</w:t>
      </w:r>
      <w:r w:rsidR="004B357F">
        <w:rPr>
          <w:rStyle w:val="FootnoteReference"/>
          <w:rFonts w:ascii="Times New Roman" w:hAnsi="Times New Roman" w:cs="Times New Roman"/>
          <w:sz w:val="24"/>
          <w:szCs w:val="24"/>
        </w:rPr>
        <w:footnoteReference w:id="30"/>
      </w:r>
      <w:r w:rsidR="00105E3D">
        <w:rPr>
          <w:rFonts w:ascii="Times New Roman" w:hAnsi="Times New Roman" w:cs="Times New Roman"/>
          <w:sz w:val="24"/>
          <w:szCs w:val="24"/>
        </w:rPr>
        <w:t xml:space="preserve"> </w:t>
      </w:r>
    </w:p>
    <w:p w14:paraId="749244DA" w14:textId="77777777" w:rsidR="003F3E6B" w:rsidRDefault="003F3E6B" w:rsidP="00437138">
      <w:pPr>
        <w:spacing w:after="0" w:line="240" w:lineRule="auto"/>
        <w:ind w:left="66"/>
        <w:jc w:val="both"/>
        <w:rPr>
          <w:rFonts w:ascii="Times New Roman" w:hAnsi="Times New Roman" w:cs="Times New Roman"/>
          <w:sz w:val="24"/>
          <w:szCs w:val="24"/>
        </w:rPr>
      </w:pPr>
    </w:p>
    <w:p w14:paraId="2A684CE4" w14:textId="6892318C" w:rsidR="003F3E6B" w:rsidRDefault="00105E3D"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Moreover,</w:t>
      </w:r>
      <w:r w:rsidR="002E46D2">
        <w:rPr>
          <w:rFonts w:ascii="Times New Roman" w:hAnsi="Times New Roman" w:cs="Times New Roman"/>
          <w:sz w:val="24"/>
          <w:szCs w:val="24"/>
        </w:rPr>
        <w:t xml:space="preserve"> some authors immediately pointed out that</w:t>
      </w:r>
      <w:r>
        <w:rPr>
          <w:rFonts w:ascii="Times New Roman" w:hAnsi="Times New Roman" w:cs="Times New Roman"/>
          <w:sz w:val="24"/>
          <w:szCs w:val="24"/>
        </w:rPr>
        <w:t xml:space="preserve"> this construction could be easily circumvented. Indeed, </w:t>
      </w:r>
      <w:r w:rsidR="00035729">
        <w:rPr>
          <w:rFonts w:ascii="Times New Roman" w:hAnsi="Times New Roman" w:cs="Times New Roman"/>
          <w:sz w:val="24"/>
          <w:szCs w:val="24"/>
        </w:rPr>
        <w:t>creators of the data</w:t>
      </w:r>
      <w:r w:rsidR="002E46D2">
        <w:rPr>
          <w:rFonts w:ascii="Times New Roman" w:hAnsi="Times New Roman" w:cs="Times New Roman"/>
          <w:sz w:val="24"/>
          <w:szCs w:val="24"/>
        </w:rPr>
        <w:t xml:space="preserve"> </w:t>
      </w:r>
      <w:r w:rsidR="00A63C36">
        <w:rPr>
          <w:rFonts w:ascii="Times New Roman" w:hAnsi="Times New Roman" w:cs="Times New Roman"/>
          <w:sz w:val="24"/>
          <w:szCs w:val="24"/>
        </w:rPr>
        <w:t xml:space="preserve">concerned </w:t>
      </w:r>
      <w:r w:rsidR="002E46D2">
        <w:rPr>
          <w:rFonts w:ascii="Times New Roman" w:hAnsi="Times New Roman" w:cs="Times New Roman"/>
          <w:sz w:val="24"/>
          <w:szCs w:val="24"/>
        </w:rPr>
        <w:t>may adopt</w:t>
      </w:r>
      <w:r w:rsidR="0066533E">
        <w:rPr>
          <w:rFonts w:ascii="Times New Roman" w:hAnsi="Times New Roman" w:cs="Times New Roman"/>
          <w:sz w:val="24"/>
          <w:szCs w:val="24"/>
        </w:rPr>
        <w:t xml:space="preserve"> several </w:t>
      </w:r>
      <w:r w:rsidR="002E46D2">
        <w:rPr>
          <w:rFonts w:ascii="Times New Roman" w:hAnsi="Times New Roman" w:cs="Times New Roman"/>
          <w:sz w:val="24"/>
          <w:szCs w:val="24"/>
        </w:rPr>
        <w:t>tricks</w:t>
      </w:r>
      <w:r w:rsidR="0066533E">
        <w:rPr>
          <w:rFonts w:ascii="Times New Roman" w:hAnsi="Times New Roman" w:cs="Times New Roman"/>
          <w:sz w:val="24"/>
          <w:szCs w:val="24"/>
        </w:rPr>
        <w:t xml:space="preserve"> in order to “obtain” a protected </w:t>
      </w:r>
      <w:r w:rsidR="00BF4637">
        <w:rPr>
          <w:rFonts w:ascii="Times New Roman" w:hAnsi="Times New Roman" w:cs="Times New Roman"/>
          <w:sz w:val="24"/>
          <w:szCs w:val="24"/>
        </w:rPr>
        <w:t>outcome</w:t>
      </w:r>
      <w:r w:rsidR="00A63C36">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0043538E">
        <w:rPr>
          <w:rFonts w:ascii="Times New Roman" w:hAnsi="Times New Roman" w:cs="Times New Roman"/>
          <w:sz w:val="24"/>
          <w:szCs w:val="24"/>
        </w:rPr>
        <w:t xml:space="preserve"> In particular,</w:t>
      </w:r>
      <w:r w:rsidR="0043538E" w:rsidRPr="0043538E">
        <w:rPr>
          <w:rFonts w:ascii="Times New Roman" w:hAnsi="Times New Roman" w:cs="Times New Roman"/>
          <w:sz w:val="24"/>
          <w:szCs w:val="24"/>
        </w:rPr>
        <w:t xml:space="preserve"> database</w:t>
      </w:r>
      <w:r w:rsidR="003819F9">
        <w:rPr>
          <w:rFonts w:ascii="Times New Roman" w:hAnsi="Times New Roman" w:cs="Times New Roman"/>
          <w:sz w:val="24"/>
          <w:szCs w:val="24"/>
        </w:rPr>
        <w:t>-</w:t>
      </w:r>
      <w:r w:rsidR="0043538E" w:rsidRPr="0043538E">
        <w:rPr>
          <w:rFonts w:ascii="Times New Roman" w:hAnsi="Times New Roman" w:cs="Times New Roman"/>
          <w:sz w:val="24"/>
          <w:szCs w:val="24"/>
        </w:rPr>
        <w:t>makers</w:t>
      </w:r>
      <w:r w:rsidR="00BF4637">
        <w:rPr>
          <w:rFonts w:ascii="Times New Roman" w:hAnsi="Times New Roman" w:cs="Times New Roman"/>
          <w:sz w:val="24"/>
          <w:szCs w:val="24"/>
        </w:rPr>
        <w:t xml:space="preserve"> </w:t>
      </w:r>
      <w:r w:rsidR="0043538E" w:rsidRPr="0043538E">
        <w:rPr>
          <w:rFonts w:ascii="Times New Roman" w:hAnsi="Times New Roman" w:cs="Times New Roman"/>
          <w:sz w:val="24"/>
          <w:szCs w:val="24"/>
        </w:rPr>
        <w:t xml:space="preserve">could introduce procedural systems to enable a clear delineation between investment related to the creation of the data and </w:t>
      </w:r>
      <w:r w:rsidR="00A63C36">
        <w:rPr>
          <w:rFonts w:ascii="Times New Roman" w:hAnsi="Times New Roman" w:cs="Times New Roman"/>
          <w:sz w:val="24"/>
          <w:szCs w:val="24"/>
        </w:rPr>
        <w:t xml:space="preserve">investment </w:t>
      </w:r>
      <w:r w:rsidR="0043538E" w:rsidRPr="0043538E">
        <w:rPr>
          <w:rFonts w:ascii="Times New Roman" w:hAnsi="Times New Roman" w:cs="Times New Roman"/>
          <w:sz w:val="24"/>
          <w:szCs w:val="24"/>
        </w:rPr>
        <w:t xml:space="preserve">related to </w:t>
      </w:r>
      <w:r w:rsidR="00A63C36">
        <w:rPr>
          <w:rFonts w:ascii="Times New Roman" w:hAnsi="Times New Roman" w:cs="Times New Roman"/>
          <w:sz w:val="24"/>
          <w:szCs w:val="24"/>
        </w:rPr>
        <w:t>its</w:t>
      </w:r>
      <w:r w:rsidR="0043538E" w:rsidRPr="0043538E">
        <w:rPr>
          <w:rFonts w:ascii="Times New Roman" w:hAnsi="Times New Roman" w:cs="Times New Roman"/>
          <w:sz w:val="24"/>
          <w:szCs w:val="24"/>
        </w:rPr>
        <w:t xml:space="preserve"> presentation or verification</w:t>
      </w:r>
      <w:r w:rsidR="00A63C36">
        <w:rPr>
          <w:rFonts w:ascii="Times New Roman" w:hAnsi="Times New Roman" w:cs="Times New Roman"/>
          <w:sz w:val="24"/>
          <w:szCs w:val="24"/>
        </w:rPr>
        <w:t>.</w:t>
      </w:r>
      <w:r w:rsidR="0043538E">
        <w:rPr>
          <w:rStyle w:val="FootnoteReference"/>
          <w:rFonts w:ascii="Times New Roman" w:hAnsi="Times New Roman" w:cs="Times New Roman"/>
          <w:sz w:val="24"/>
          <w:szCs w:val="24"/>
        </w:rPr>
        <w:footnoteReference w:id="32"/>
      </w:r>
      <w:r w:rsidR="00764C43">
        <w:rPr>
          <w:rFonts w:ascii="Times New Roman" w:hAnsi="Times New Roman" w:cs="Times New Roman"/>
          <w:sz w:val="24"/>
          <w:szCs w:val="24"/>
        </w:rPr>
        <w:t xml:space="preserve"> Other possib</w:t>
      </w:r>
      <w:r w:rsidR="006373C8">
        <w:rPr>
          <w:rFonts w:ascii="Times New Roman" w:hAnsi="Times New Roman" w:cs="Times New Roman"/>
          <w:sz w:val="24"/>
          <w:szCs w:val="24"/>
        </w:rPr>
        <w:t xml:space="preserve">le </w:t>
      </w:r>
      <w:r w:rsidR="00A63C36">
        <w:rPr>
          <w:rFonts w:ascii="Times New Roman" w:hAnsi="Times New Roman" w:cs="Times New Roman"/>
          <w:sz w:val="24"/>
          <w:szCs w:val="24"/>
        </w:rPr>
        <w:t xml:space="preserve">ways of </w:t>
      </w:r>
      <w:r w:rsidR="006373C8">
        <w:rPr>
          <w:rFonts w:ascii="Times New Roman" w:hAnsi="Times New Roman" w:cs="Times New Roman"/>
          <w:sz w:val="24"/>
          <w:szCs w:val="24"/>
        </w:rPr>
        <w:t>circumvent</w:t>
      </w:r>
      <w:r w:rsidR="00A63C36">
        <w:rPr>
          <w:rFonts w:ascii="Times New Roman" w:hAnsi="Times New Roman" w:cs="Times New Roman"/>
          <w:sz w:val="24"/>
          <w:szCs w:val="24"/>
        </w:rPr>
        <w:t xml:space="preserve">ing </w:t>
      </w:r>
      <w:r w:rsidR="00292B2E">
        <w:rPr>
          <w:rFonts w:ascii="Times New Roman" w:hAnsi="Times New Roman" w:cs="Times New Roman"/>
          <w:sz w:val="24"/>
          <w:szCs w:val="24"/>
        </w:rPr>
        <w:t xml:space="preserve">the </w:t>
      </w:r>
      <w:r w:rsidR="006373C8">
        <w:rPr>
          <w:rFonts w:ascii="Times New Roman" w:hAnsi="Times New Roman" w:cs="Times New Roman"/>
          <w:sz w:val="24"/>
          <w:szCs w:val="24"/>
        </w:rPr>
        <w:t>dichotomy</w:t>
      </w:r>
      <w:r w:rsidR="00764C43">
        <w:rPr>
          <w:rFonts w:ascii="Times New Roman" w:hAnsi="Times New Roman" w:cs="Times New Roman"/>
          <w:sz w:val="24"/>
          <w:szCs w:val="24"/>
        </w:rPr>
        <w:t xml:space="preserve"> </w:t>
      </w:r>
      <w:r w:rsidR="00A63C36">
        <w:rPr>
          <w:rFonts w:ascii="Times New Roman" w:hAnsi="Times New Roman" w:cs="Times New Roman"/>
          <w:sz w:val="24"/>
          <w:szCs w:val="24"/>
        </w:rPr>
        <w:t xml:space="preserve">include </w:t>
      </w:r>
      <w:r w:rsidR="0043538E">
        <w:rPr>
          <w:rFonts w:ascii="Times New Roman" w:hAnsi="Times New Roman" w:cs="Times New Roman"/>
          <w:sz w:val="24"/>
          <w:szCs w:val="24"/>
        </w:rPr>
        <w:t>the use of</w:t>
      </w:r>
      <w:r w:rsidR="003D37DE">
        <w:rPr>
          <w:rFonts w:ascii="Times New Roman" w:hAnsi="Times New Roman" w:cs="Times New Roman"/>
          <w:sz w:val="24"/>
          <w:szCs w:val="24"/>
        </w:rPr>
        <w:t xml:space="preserve"> technological protection measures</w:t>
      </w:r>
      <w:r w:rsidR="0043538E">
        <w:rPr>
          <w:rFonts w:ascii="Times New Roman" w:hAnsi="Times New Roman" w:cs="Times New Roman"/>
          <w:sz w:val="24"/>
          <w:szCs w:val="24"/>
        </w:rPr>
        <w:t xml:space="preserve"> </w:t>
      </w:r>
      <w:r w:rsidR="003D37DE">
        <w:rPr>
          <w:rFonts w:ascii="Times New Roman" w:hAnsi="Times New Roman" w:cs="Times New Roman"/>
          <w:sz w:val="24"/>
          <w:szCs w:val="24"/>
        </w:rPr>
        <w:t>(</w:t>
      </w:r>
      <w:r w:rsidR="0043538E" w:rsidRPr="0043538E">
        <w:rPr>
          <w:rFonts w:ascii="Times New Roman" w:hAnsi="Times New Roman" w:cs="Times New Roman"/>
          <w:sz w:val="24"/>
          <w:szCs w:val="24"/>
        </w:rPr>
        <w:t>TPM</w:t>
      </w:r>
      <w:r w:rsidR="003D37DE">
        <w:rPr>
          <w:rFonts w:ascii="Times New Roman" w:hAnsi="Times New Roman" w:cs="Times New Roman"/>
          <w:sz w:val="24"/>
          <w:szCs w:val="24"/>
        </w:rPr>
        <w:t>)</w:t>
      </w:r>
      <w:r w:rsidR="0043538E">
        <w:rPr>
          <w:rStyle w:val="FootnoteReference"/>
          <w:rFonts w:ascii="Times New Roman" w:hAnsi="Times New Roman" w:cs="Times New Roman"/>
          <w:sz w:val="24"/>
          <w:szCs w:val="24"/>
        </w:rPr>
        <w:footnoteReference w:id="33"/>
      </w:r>
      <w:r w:rsidR="0043538E">
        <w:rPr>
          <w:rFonts w:ascii="Times New Roman" w:hAnsi="Times New Roman" w:cs="Times New Roman"/>
          <w:sz w:val="24"/>
          <w:szCs w:val="24"/>
        </w:rPr>
        <w:t xml:space="preserve"> or other means </w:t>
      </w:r>
      <w:r w:rsidR="00292B2E">
        <w:rPr>
          <w:rFonts w:ascii="Times New Roman" w:hAnsi="Times New Roman" w:cs="Times New Roman"/>
          <w:sz w:val="24"/>
          <w:szCs w:val="24"/>
        </w:rPr>
        <w:t>of denying a</w:t>
      </w:r>
      <w:r w:rsidR="0043538E">
        <w:rPr>
          <w:rFonts w:ascii="Times New Roman" w:hAnsi="Times New Roman" w:cs="Times New Roman"/>
          <w:sz w:val="24"/>
          <w:szCs w:val="24"/>
        </w:rPr>
        <w:t>ccess to the data</w:t>
      </w:r>
      <w:r w:rsidR="00CB1809">
        <w:rPr>
          <w:rFonts w:ascii="Times New Roman" w:hAnsi="Times New Roman" w:cs="Times New Roman"/>
          <w:sz w:val="24"/>
          <w:szCs w:val="24"/>
        </w:rPr>
        <w:t>,</w:t>
      </w:r>
      <w:r w:rsidR="0043538E">
        <w:rPr>
          <w:rFonts w:ascii="Times New Roman" w:hAnsi="Times New Roman" w:cs="Times New Roman"/>
          <w:sz w:val="24"/>
          <w:szCs w:val="24"/>
        </w:rPr>
        <w:t xml:space="preserve"> </w:t>
      </w:r>
      <w:r w:rsidR="00A63C36">
        <w:rPr>
          <w:rFonts w:ascii="Times New Roman" w:hAnsi="Times New Roman" w:cs="Times New Roman"/>
          <w:sz w:val="24"/>
          <w:szCs w:val="24"/>
        </w:rPr>
        <w:t xml:space="preserve">such as </w:t>
      </w:r>
      <w:r w:rsidR="0043538E">
        <w:rPr>
          <w:rFonts w:ascii="Times New Roman" w:hAnsi="Times New Roman" w:cs="Times New Roman"/>
          <w:sz w:val="24"/>
          <w:szCs w:val="24"/>
        </w:rPr>
        <w:lastRenderedPageBreak/>
        <w:t>contractual terms</w:t>
      </w:r>
      <w:r w:rsidR="0043538E" w:rsidRPr="0043538E">
        <w:rPr>
          <w:rFonts w:ascii="Times New Roman" w:hAnsi="Times New Roman" w:cs="Times New Roman"/>
          <w:sz w:val="24"/>
          <w:szCs w:val="24"/>
        </w:rPr>
        <w:t>.</w:t>
      </w:r>
      <w:r w:rsidR="00764C43">
        <w:rPr>
          <w:rFonts w:ascii="Times New Roman" w:hAnsi="Times New Roman" w:cs="Times New Roman"/>
          <w:sz w:val="24"/>
          <w:szCs w:val="24"/>
        </w:rPr>
        <w:t xml:space="preserve"> </w:t>
      </w:r>
      <w:r w:rsidR="00A63C36">
        <w:rPr>
          <w:rFonts w:ascii="Times New Roman" w:hAnsi="Times New Roman" w:cs="Times New Roman"/>
          <w:sz w:val="24"/>
          <w:szCs w:val="24"/>
        </w:rPr>
        <w:t>Furthermore</w:t>
      </w:r>
      <w:r w:rsidR="00764C43">
        <w:rPr>
          <w:rFonts w:ascii="Times New Roman" w:hAnsi="Times New Roman" w:cs="Times New Roman"/>
          <w:sz w:val="24"/>
          <w:szCs w:val="24"/>
        </w:rPr>
        <w:t>, data producers could assign</w:t>
      </w:r>
      <w:r w:rsidR="00A63C36">
        <w:rPr>
          <w:rFonts w:ascii="Times New Roman" w:hAnsi="Times New Roman" w:cs="Times New Roman"/>
          <w:sz w:val="24"/>
          <w:szCs w:val="24"/>
        </w:rPr>
        <w:t xml:space="preserve"> the data</w:t>
      </w:r>
      <w:r w:rsidR="00764C43">
        <w:rPr>
          <w:rFonts w:ascii="Times New Roman" w:hAnsi="Times New Roman" w:cs="Times New Roman"/>
          <w:sz w:val="24"/>
          <w:szCs w:val="24"/>
        </w:rPr>
        <w:t xml:space="preserve"> – </w:t>
      </w:r>
      <w:r w:rsidR="00A63C36">
        <w:rPr>
          <w:rFonts w:ascii="Times New Roman" w:hAnsi="Times New Roman" w:cs="Times New Roman"/>
          <w:sz w:val="24"/>
          <w:szCs w:val="24"/>
        </w:rPr>
        <w:t>possibly</w:t>
      </w:r>
      <w:r w:rsidR="00764C43">
        <w:rPr>
          <w:rFonts w:ascii="Times New Roman" w:hAnsi="Times New Roman" w:cs="Times New Roman"/>
          <w:sz w:val="24"/>
          <w:szCs w:val="24"/>
        </w:rPr>
        <w:t xml:space="preserve"> to a sister compa</w:t>
      </w:r>
      <w:r w:rsidR="005E617D">
        <w:rPr>
          <w:rFonts w:ascii="Times New Roman" w:hAnsi="Times New Roman" w:cs="Times New Roman"/>
          <w:sz w:val="24"/>
          <w:szCs w:val="24"/>
        </w:rPr>
        <w:t>ny – before making it</w:t>
      </w:r>
      <w:r w:rsidR="00764C43">
        <w:rPr>
          <w:rFonts w:ascii="Times New Roman" w:hAnsi="Times New Roman" w:cs="Times New Roman"/>
          <w:sz w:val="24"/>
          <w:szCs w:val="24"/>
        </w:rPr>
        <w:t xml:space="preserve"> public</w:t>
      </w:r>
      <w:r w:rsidR="005E617D">
        <w:rPr>
          <w:rFonts w:ascii="Times New Roman" w:hAnsi="Times New Roman" w:cs="Times New Roman"/>
          <w:sz w:val="24"/>
          <w:szCs w:val="24"/>
        </w:rPr>
        <w:t>ly available</w:t>
      </w:r>
      <w:r w:rsidR="00764C43">
        <w:rPr>
          <w:rFonts w:ascii="Times New Roman" w:hAnsi="Times New Roman" w:cs="Times New Roman"/>
          <w:sz w:val="24"/>
          <w:szCs w:val="24"/>
        </w:rPr>
        <w:t xml:space="preserve">, allowing the assignee to </w:t>
      </w:r>
      <w:r w:rsidR="00A63C36">
        <w:rPr>
          <w:rFonts w:ascii="Times New Roman" w:hAnsi="Times New Roman" w:cs="Times New Roman"/>
          <w:sz w:val="24"/>
          <w:szCs w:val="24"/>
        </w:rPr>
        <w:t xml:space="preserve">make </w:t>
      </w:r>
      <w:r w:rsidR="00764C43">
        <w:rPr>
          <w:rFonts w:ascii="Times New Roman" w:hAnsi="Times New Roman" w:cs="Times New Roman"/>
          <w:sz w:val="24"/>
          <w:szCs w:val="24"/>
        </w:rPr>
        <w:t>a subs</w:t>
      </w:r>
      <w:r w:rsidR="00960CBD">
        <w:rPr>
          <w:rFonts w:ascii="Times New Roman" w:hAnsi="Times New Roman" w:cs="Times New Roman"/>
          <w:sz w:val="24"/>
          <w:szCs w:val="24"/>
        </w:rPr>
        <w:t>tantial investment in obtaining</w:t>
      </w:r>
      <w:r w:rsidR="00A63C36">
        <w:rPr>
          <w:rFonts w:ascii="Times New Roman" w:hAnsi="Times New Roman" w:cs="Times New Roman"/>
          <w:sz w:val="24"/>
          <w:szCs w:val="24"/>
        </w:rPr>
        <w:t xml:space="preserve"> it</w:t>
      </w:r>
      <w:r w:rsidR="00960CBD">
        <w:rPr>
          <w:rFonts w:ascii="Times New Roman" w:hAnsi="Times New Roman" w:cs="Times New Roman"/>
          <w:sz w:val="24"/>
          <w:szCs w:val="24"/>
        </w:rPr>
        <w:t xml:space="preserve"> (the same reasoning c</w:t>
      </w:r>
      <w:r w:rsidR="00A63C36">
        <w:rPr>
          <w:rFonts w:ascii="Times New Roman" w:hAnsi="Times New Roman" w:cs="Times New Roman"/>
          <w:sz w:val="24"/>
          <w:szCs w:val="24"/>
        </w:rPr>
        <w:t xml:space="preserve">ould </w:t>
      </w:r>
      <w:r w:rsidR="00960CBD">
        <w:rPr>
          <w:rFonts w:ascii="Times New Roman" w:hAnsi="Times New Roman" w:cs="Times New Roman"/>
          <w:sz w:val="24"/>
          <w:szCs w:val="24"/>
        </w:rPr>
        <w:t>apply to the mere outsourcing of the creation of data)</w:t>
      </w:r>
      <w:r w:rsidR="00DE4A12">
        <w:rPr>
          <w:rFonts w:ascii="Times New Roman" w:hAnsi="Times New Roman" w:cs="Times New Roman"/>
          <w:sz w:val="24"/>
          <w:szCs w:val="24"/>
        </w:rPr>
        <w:t>.</w:t>
      </w:r>
      <w:r w:rsidR="00764C43">
        <w:rPr>
          <w:rStyle w:val="FootnoteReference"/>
          <w:rFonts w:ascii="Times New Roman" w:hAnsi="Times New Roman" w:cs="Times New Roman"/>
          <w:sz w:val="24"/>
          <w:szCs w:val="24"/>
        </w:rPr>
        <w:footnoteReference w:id="34"/>
      </w:r>
    </w:p>
    <w:p w14:paraId="5600BADE" w14:textId="7E5A9DAB" w:rsidR="00960CBD" w:rsidRDefault="00960CBD"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14:paraId="3FE8D21E" w14:textId="09677A64" w:rsidR="000A293D" w:rsidRDefault="005E617D" w:rsidP="0043713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Finally, other</w:t>
      </w:r>
      <w:r w:rsidR="00500756">
        <w:rPr>
          <w:rFonts w:ascii="Times New Roman" w:hAnsi="Times New Roman" w:cs="Times New Roman"/>
          <w:sz w:val="24"/>
          <w:szCs w:val="24"/>
        </w:rPr>
        <w:t xml:space="preserve"> commentators</w:t>
      </w:r>
      <w:r w:rsidR="00391FA6">
        <w:rPr>
          <w:rFonts w:ascii="Times New Roman" w:hAnsi="Times New Roman" w:cs="Times New Roman"/>
          <w:sz w:val="24"/>
          <w:szCs w:val="24"/>
        </w:rPr>
        <w:t xml:space="preserve"> </w:t>
      </w:r>
      <w:r w:rsidR="00A63C36">
        <w:rPr>
          <w:rFonts w:ascii="Times New Roman" w:hAnsi="Times New Roman" w:cs="Times New Roman"/>
          <w:sz w:val="24"/>
          <w:szCs w:val="24"/>
        </w:rPr>
        <w:t xml:space="preserve">have </w:t>
      </w:r>
      <w:r w:rsidR="00391FA6">
        <w:rPr>
          <w:rFonts w:ascii="Times New Roman" w:hAnsi="Times New Roman" w:cs="Times New Roman"/>
          <w:sz w:val="24"/>
          <w:szCs w:val="24"/>
        </w:rPr>
        <w:t>stron</w:t>
      </w:r>
      <w:r w:rsidR="0086208E">
        <w:rPr>
          <w:rFonts w:ascii="Times New Roman" w:hAnsi="Times New Roman" w:cs="Times New Roman"/>
          <w:sz w:val="24"/>
          <w:szCs w:val="24"/>
        </w:rPr>
        <w:t>gly criticized this construction</w:t>
      </w:r>
      <w:r w:rsidR="00D4336E">
        <w:rPr>
          <w:rFonts w:ascii="Times New Roman" w:hAnsi="Times New Roman" w:cs="Times New Roman"/>
          <w:sz w:val="24"/>
          <w:szCs w:val="24"/>
        </w:rPr>
        <w:t xml:space="preserve"> </w:t>
      </w:r>
      <w:proofErr w:type="gramStart"/>
      <w:r w:rsidR="00A63C36">
        <w:rPr>
          <w:rFonts w:ascii="Times New Roman" w:hAnsi="Times New Roman" w:cs="Times New Roman"/>
          <w:sz w:val="24"/>
          <w:szCs w:val="24"/>
        </w:rPr>
        <w:t>on the basis of</w:t>
      </w:r>
      <w:proofErr w:type="gramEnd"/>
      <w:r w:rsidR="00A63C36">
        <w:rPr>
          <w:rFonts w:ascii="Times New Roman" w:hAnsi="Times New Roman" w:cs="Times New Roman"/>
          <w:sz w:val="24"/>
          <w:szCs w:val="24"/>
        </w:rPr>
        <w:t xml:space="preserve"> </w:t>
      </w:r>
      <w:r w:rsidR="00CB1809">
        <w:rPr>
          <w:rFonts w:ascii="Times New Roman" w:hAnsi="Times New Roman" w:cs="Times New Roman"/>
          <w:sz w:val="24"/>
          <w:szCs w:val="24"/>
        </w:rPr>
        <w:t>the</w:t>
      </w:r>
      <w:r>
        <w:rPr>
          <w:rFonts w:ascii="Times New Roman" w:hAnsi="Times New Roman" w:cs="Times New Roman"/>
          <w:sz w:val="24"/>
          <w:szCs w:val="24"/>
        </w:rPr>
        <w:t xml:space="preserve"> </w:t>
      </w:r>
      <w:r w:rsidR="00A63C36">
        <w:rPr>
          <w:rFonts w:ascii="Times New Roman" w:hAnsi="Times New Roman" w:cs="Times New Roman"/>
          <w:sz w:val="24"/>
          <w:szCs w:val="24"/>
        </w:rPr>
        <w:t>r</w:t>
      </w:r>
      <w:r w:rsidR="00D4336E">
        <w:rPr>
          <w:rFonts w:ascii="Times New Roman" w:hAnsi="Times New Roman" w:cs="Times New Roman"/>
          <w:sz w:val="24"/>
          <w:szCs w:val="24"/>
        </w:rPr>
        <w:t>ecitals upon which the CJEU buil</w:t>
      </w:r>
      <w:r w:rsidR="000D4799">
        <w:rPr>
          <w:rFonts w:ascii="Times New Roman" w:hAnsi="Times New Roman" w:cs="Times New Roman"/>
          <w:sz w:val="24"/>
          <w:szCs w:val="24"/>
        </w:rPr>
        <w:t>t</w:t>
      </w:r>
      <w:r w:rsidR="00D4336E">
        <w:rPr>
          <w:rFonts w:ascii="Times New Roman" w:hAnsi="Times New Roman" w:cs="Times New Roman"/>
          <w:sz w:val="24"/>
          <w:szCs w:val="24"/>
        </w:rPr>
        <w:t xml:space="preserve"> it</w:t>
      </w:r>
      <w:r w:rsidR="002E7346">
        <w:rPr>
          <w:rFonts w:ascii="Times New Roman" w:hAnsi="Times New Roman" w:cs="Times New Roman"/>
          <w:sz w:val="24"/>
          <w:szCs w:val="24"/>
        </w:rPr>
        <w:t>s</w:t>
      </w:r>
      <w:r w:rsidR="00D4336E">
        <w:rPr>
          <w:rFonts w:ascii="Times New Roman" w:hAnsi="Times New Roman" w:cs="Times New Roman"/>
          <w:sz w:val="24"/>
          <w:szCs w:val="24"/>
        </w:rPr>
        <w:t xml:space="preserve"> conclusions. In</w:t>
      </w:r>
      <w:r w:rsidR="00A63C36">
        <w:rPr>
          <w:rFonts w:ascii="Times New Roman" w:hAnsi="Times New Roman" w:cs="Times New Roman"/>
          <w:sz w:val="24"/>
          <w:szCs w:val="24"/>
        </w:rPr>
        <w:t>deed</w:t>
      </w:r>
      <w:r w:rsidR="00DE4A12">
        <w:rPr>
          <w:rFonts w:ascii="Times New Roman" w:hAnsi="Times New Roman" w:cs="Times New Roman"/>
          <w:sz w:val="24"/>
          <w:szCs w:val="24"/>
        </w:rPr>
        <w:t>, the</w:t>
      </w:r>
      <w:r w:rsidR="00A63C36">
        <w:rPr>
          <w:rFonts w:ascii="Times New Roman" w:hAnsi="Times New Roman" w:cs="Times New Roman"/>
          <w:sz w:val="24"/>
          <w:szCs w:val="24"/>
        </w:rPr>
        <w:t xml:space="preserve"> recitals</w:t>
      </w:r>
      <w:r w:rsidR="00DE4A12">
        <w:rPr>
          <w:rFonts w:ascii="Times New Roman" w:hAnsi="Times New Roman" w:cs="Times New Roman"/>
          <w:sz w:val="24"/>
          <w:szCs w:val="24"/>
        </w:rPr>
        <w:t xml:space="preserve"> could be read</w:t>
      </w:r>
      <w:r w:rsidR="00D4336E">
        <w:rPr>
          <w:rFonts w:ascii="Times New Roman" w:hAnsi="Times New Roman" w:cs="Times New Roman"/>
          <w:sz w:val="24"/>
          <w:szCs w:val="24"/>
        </w:rPr>
        <w:t xml:space="preserve"> as leading to the opposite </w:t>
      </w:r>
      <w:r w:rsidR="00A83328">
        <w:rPr>
          <w:rFonts w:ascii="Times New Roman" w:hAnsi="Times New Roman" w:cs="Times New Roman"/>
          <w:sz w:val="24"/>
          <w:szCs w:val="24"/>
        </w:rPr>
        <w:t>interpretation</w:t>
      </w:r>
      <w:r w:rsidR="00292B2E">
        <w:rPr>
          <w:rFonts w:ascii="Times New Roman" w:hAnsi="Times New Roman" w:cs="Times New Roman"/>
          <w:sz w:val="24"/>
          <w:szCs w:val="24"/>
        </w:rPr>
        <w:t>.</w:t>
      </w:r>
      <w:r w:rsidR="00751E85">
        <w:rPr>
          <w:rStyle w:val="FootnoteReference"/>
          <w:rFonts w:ascii="Times New Roman" w:hAnsi="Times New Roman" w:cs="Times New Roman"/>
          <w:sz w:val="24"/>
          <w:szCs w:val="24"/>
        </w:rPr>
        <w:footnoteReference w:id="35"/>
      </w:r>
      <w:r w:rsidR="00A83328">
        <w:rPr>
          <w:rFonts w:ascii="Times New Roman" w:hAnsi="Times New Roman" w:cs="Times New Roman"/>
          <w:sz w:val="24"/>
          <w:szCs w:val="24"/>
        </w:rPr>
        <w:t xml:space="preserve"> </w:t>
      </w:r>
      <w:r w:rsidR="00292B2E">
        <w:rPr>
          <w:rFonts w:ascii="Times New Roman" w:hAnsi="Times New Roman" w:cs="Times New Roman"/>
          <w:sz w:val="24"/>
          <w:szCs w:val="24"/>
        </w:rPr>
        <w:t>W</w:t>
      </w:r>
      <w:r w:rsidR="00A83328">
        <w:rPr>
          <w:rFonts w:ascii="Times New Roman" w:hAnsi="Times New Roman" w:cs="Times New Roman"/>
          <w:sz w:val="24"/>
          <w:szCs w:val="24"/>
        </w:rPr>
        <w:t xml:space="preserve">hile under </w:t>
      </w:r>
      <w:r w:rsidR="000D4799">
        <w:rPr>
          <w:rFonts w:ascii="Times New Roman" w:hAnsi="Times New Roman" w:cs="Times New Roman"/>
          <w:sz w:val="24"/>
          <w:szCs w:val="24"/>
        </w:rPr>
        <w:t>R</w:t>
      </w:r>
      <w:r w:rsidR="00A83328">
        <w:rPr>
          <w:rFonts w:ascii="Times New Roman" w:hAnsi="Times New Roman" w:cs="Times New Roman"/>
          <w:sz w:val="24"/>
          <w:szCs w:val="24"/>
        </w:rPr>
        <w:t xml:space="preserve">ecital </w:t>
      </w:r>
      <w:r w:rsidR="000D4799">
        <w:rPr>
          <w:rFonts w:ascii="Times New Roman" w:hAnsi="Times New Roman" w:cs="Times New Roman"/>
          <w:sz w:val="24"/>
          <w:szCs w:val="24"/>
        </w:rPr>
        <w:t xml:space="preserve">9 </w:t>
      </w:r>
      <w:r w:rsidR="00CA691B">
        <w:rPr>
          <w:rFonts w:ascii="Times New Roman" w:hAnsi="Times New Roman" w:cs="Times New Roman"/>
          <w:sz w:val="24"/>
          <w:szCs w:val="24"/>
        </w:rPr>
        <w:t>databases are deemed to be</w:t>
      </w:r>
      <w:r w:rsidR="00A83328">
        <w:rPr>
          <w:rFonts w:ascii="Times New Roman" w:hAnsi="Times New Roman" w:cs="Times New Roman"/>
          <w:sz w:val="24"/>
          <w:szCs w:val="24"/>
        </w:rPr>
        <w:t xml:space="preserve"> vital tool</w:t>
      </w:r>
      <w:r w:rsidR="00CA691B">
        <w:rPr>
          <w:rFonts w:ascii="Times New Roman" w:hAnsi="Times New Roman" w:cs="Times New Roman"/>
          <w:sz w:val="24"/>
          <w:szCs w:val="24"/>
        </w:rPr>
        <w:t>s</w:t>
      </w:r>
      <w:r w:rsidR="00A83328">
        <w:rPr>
          <w:rFonts w:ascii="Times New Roman" w:hAnsi="Times New Roman" w:cs="Times New Roman"/>
          <w:sz w:val="24"/>
          <w:szCs w:val="24"/>
        </w:rPr>
        <w:t xml:space="preserve"> in the development of the information market, reduction of the scope of their protection </w:t>
      </w:r>
      <w:r w:rsidR="00A63C36">
        <w:rPr>
          <w:rFonts w:ascii="Times New Roman" w:hAnsi="Times New Roman" w:cs="Times New Roman"/>
          <w:sz w:val="24"/>
          <w:szCs w:val="24"/>
        </w:rPr>
        <w:t xml:space="preserve">actually </w:t>
      </w:r>
      <w:r w:rsidR="000D4799">
        <w:rPr>
          <w:rFonts w:ascii="Times New Roman" w:hAnsi="Times New Roman" w:cs="Times New Roman"/>
          <w:sz w:val="24"/>
          <w:szCs w:val="24"/>
        </w:rPr>
        <w:t xml:space="preserve">hampers </w:t>
      </w:r>
      <w:r>
        <w:rPr>
          <w:rFonts w:ascii="Times New Roman" w:hAnsi="Times New Roman" w:cs="Times New Roman"/>
          <w:sz w:val="24"/>
          <w:szCs w:val="24"/>
        </w:rPr>
        <w:t>the development</w:t>
      </w:r>
      <w:r w:rsidR="003F3E6B">
        <w:rPr>
          <w:rFonts w:ascii="Times New Roman" w:hAnsi="Times New Roman" w:cs="Times New Roman"/>
          <w:sz w:val="24"/>
          <w:szCs w:val="24"/>
        </w:rPr>
        <w:t xml:space="preserve"> </w:t>
      </w:r>
      <w:r w:rsidR="00A83328">
        <w:rPr>
          <w:rFonts w:ascii="Times New Roman" w:hAnsi="Times New Roman" w:cs="Times New Roman"/>
          <w:sz w:val="24"/>
          <w:szCs w:val="24"/>
        </w:rPr>
        <w:t>of this market</w:t>
      </w:r>
      <w:r w:rsidR="00A63C36">
        <w:rPr>
          <w:rFonts w:ascii="Times New Roman" w:hAnsi="Times New Roman" w:cs="Times New Roman"/>
          <w:sz w:val="24"/>
          <w:szCs w:val="24"/>
        </w:rPr>
        <w:t>.</w:t>
      </w:r>
      <w:r w:rsidR="00A83328">
        <w:rPr>
          <w:rStyle w:val="FootnoteReference"/>
          <w:rFonts w:ascii="Times New Roman" w:hAnsi="Times New Roman" w:cs="Times New Roman"/>
          <w:sz w:val="24"/>
          <w:szCs w:val="24"/>
        </w:rPr>
        <w:footnoteReference w:id="36"/>
      </w:r>
      <w:r w:rsidR="00A83328">
        <w:rPr>
          <w:rFonts w:ascii="Times New Roman" w:hAnsi="Times New Roman" w:cs="Times New Roman"/>
          <w:sz w:val="24"/>
          <w:szCs w:val="24"/>
        </w:rPr>
        <w:t xml:space="preserve"> </w:t>
      </w:r>
      <w:r w:rsidR="00A63C36">
        <w:rPr>
          <w:rFonts w:ascii="Times New Roman" w:hAnsi="Times New Roman" w:cs="Times New Roman"/>
          <w:sz w:val="24"/>
          <w:szCs w:val="24"/>
        </w:rPr>
        <w:t>Secondly</w:t>
      </w:r>
      <w:r>
        <w:rPr>
          <w:rFonts w:ascii="Times New Roman" w:hAnsi="Times New Roman" w:cs="Times New Roman"/>
          <w:sz w:val="24"/>
          <w:szCs w:val="24"/>
        </w:rPr>
        <w:t xml:space="preserve">, </w:t>
      </w:r>
      <w:r w:rsidR="000D4799">
        <w:rPr>
          <w:rFonts w:ascii="Times New Roman" w:hAnsi="Times New Roman" w:cs="Times New Roman"/>
          <w:sz w:val="24"/>
          <w:szCs w:val="24"/>
        </w:rPr>
        <w:t>R</w:t>
      </w:r>
      <w:r w:rsidR="00A83328">
        <w:rPr>
          <w:rFonts w:ascii="Times New Roman" w:hAnsi="Times New Roman" w:cs="Times New Roman"/>
          <w:sz w:val="24"/>
          <w:szCs w:val="24"/>
        </w:rPr>
        <w:t>ecital</w:t>
      </w:r>
      <w:r w:rsidR="000D4799">
        <w:rPr>
          <w:rFonts w:ascii="Times New Roman" w:hAnsi="Times New Roman" w:cs="Times New Roman"/>
          <w:sz w:val="24"/>
          <w:szCs w:val="24"/>
        </w:rPr>
        <w:t xml:space="preserve"> 10</w:t>
      </w:r>
      <w:r w:rsidR="00A83328">
        <w:rPr>
          <w:rFonts w:ascii="Times New Roman" w:hAnsi="Times New Roman" w:cs="Times New Roman"/>
          <w:sz w:val="24"/>
          <w:szCs w:val="24"/>
        </w:rPr>
        <w:t xml:space="preserve"> refers to the growth in the amount of information generated and processed</w:t>
      </w:r>
      <w:r w:rsidR="00A63C36">
        <w:rPr>
          <w:rFonts w:ascii="Times New Roman" w:hAnsi="Times New Roman" w:cs="Times New Roman"/>
          <w:sz w:val="24"/>
          <w:szCs w:val="24"/>
        </w:rPr>
        <w:t>,</w:t>
      </w:r>
      <w:r w:rsidR="00A83328">
        <w:rPr>
          <w:rFonts w:ascii="Times New Roman" w:hAnsi="Times New Roman" w:cs="Times New Roman"/>
          <w:sz w:val="24"/>
          <w:szCs w:val="24"/>
        </w:rPr>
        <w:t xml:space="preserve"> while calling for significant investment in advanced</w:t>
      </w:r>
      <w:r w:rsidR="00AB494C">
        <w:rPr>
          <w:rFonts w:ascii="Times New Roman" w:hAnsi="Times New Roman" w:cs="Times New Roman"/>
          <w:sz w:val="24"/>
          <w:szCs w:val="24"/>
        </w:rPr>
        <w:t xml:space="preserve"> information</w:t>
      </w:r>
      <w:r w:rsidR="00A63C36">
        <w:rPr>
          <w:rFonts w:ascii="Times New Roman" w:hAnsi="Times New Roman" w:cs="Times New Roman"/>
          <w:sz w:val="24"/>
          <w:szCs w:val="24"/>
        </w:rPr>
        <w:t>-</w:t>
      </w:r>
      <w:r w:rsidR="00AB494C">
        <w:rPr>
          <w:rFonts w:ascii="Times New Roman" w:hAnsi="Times New Roman" w:cs="Times New Roman"/>
          <w:sz w:val="24"/>
          <w:szCs w:val="24"/>
        </w:rPr>
        <w:t>processing systems</w:t>
      </w:r>
      <w:r w:rsidR="00A63C36">
        <w:rPr>
          <w:rFonts w:ascii="Times New Roman" w:hAnsi="Times New Roman" w:cs="Times New Roman"/>
          <w:sz w:val="24"/>
          <w:szCs w:val="24"/>
        </w:rPr>
        <w:t>.</w:t>
      </w:r>
      <w:r w:rsidR="00A83328">
        <w:rPr>
          <w:rStyle w:val="FootnoteReference"/>
          <w:rFonts w:ascii="Times New Roman" w:hAnsi="Times New Roman" w:cs="Times New Roman"/>
          <w:sz w:val="24"/>
          <w:szCs w:val="24"/>
        </w:rPr>
        <w:footnoteReference w:id="37"/>
      </w:r>
      <w:r w:rsidR="00AB494C">
        <w:rPr>
          <w:rFonts w:ascii="Times New Roman" w:hAnsi="Times New Roman" w:cs="Times New Roman"/>
          <w:sz w:val="24"/>
          <w:szCs w:val="24"/>
        </w:rPr>
        <w:t xml:space="preserve"> Third</w:t>
      </w:r>
      <w:r w:rsidR="00A63C36">
        <w:rPr>
          <w:rFonts w:ascii="Times New Roman" w:hAnsi="Times New Roman" w:cs="Times New Roman"/>
          <w:sz w:val="24"/>
          <w:szCs w:val="24"/>
        </w:rPr>
        <w:t>ly</w:t>
      </w:r>
      <w:r w:rsidR="00AB494C">
        <w:rPr>
          <w:rFonts w:ascii="Times New Roman" w:hAnsi="Times New Roman" w:cs="Times New Roman"/>
          <w:sz w:val="24"/>
          <w:szCs w:val="24"/>
        </w:rPr>
        <w:t xml:space="preserve">, as pointed out in </w:t>
      </w:r>
      <w:r w:rsidR="000D4799">
        <w:rPr>
          <w:rFonts w:ascii="Times New Roman" w:hAnsi="Times New Roman" w:cs="Times New Roman"/>
          <w:sz w:val="24"/>
          <w:szCs w:val="24"/>
        </w:rPr>
        <w:t>R</w:t>
      </w:r>
      <w:r w:rsidR="00AB494C">
        <w:rPr>
          <w:rFonts w:ascii="Times New Roman" w:hAnsi="Times New Roman" w:cs="Times New Roman"/>
          <w:sz w:val="24"/>
          <w:szCs w:val="24"/>
        </w:rPr>
        <w:t>ecital</w:t>
      </w:r>
      <w:r w:rsidR="000D4799">
        <w:rPr>
          <w:rFonts w:ascii="Times New Roman" w:hAnsi="Times New Roman" w:cs="Times New Roman"/>
          <w:sz w:val="24"/>
          <w:szCs w:val="24"/>
        </w:rPr>
        <w:t xml:space="preserve"> 12</w:t>
      </w:r>
      <w:r w:rsidR="00AB494C">
        <w:rPr>
          <w:rFonts w:ascii="Times New Roman" w:hAnsi="Times New Roman" w:cs="Times New Roman"/>
          <w:sz w:val="24"/>
          <w:szCs w:val="24"/>
        </w:rPr>
        <w:t xml:space="preserve">, the investment in information storage and processing systems </w:t>
      </w:r>
      <w:r w:rsidR="00A63C36">
        <w:rPr>
          <w:rFonts w:ascii="Times New Roman" w:hAnsi="Times New Roman" w:cs="Times New Roman"/>
          <w:sz w:val="24"/>
          <w:szCs w:val="24"/>
        </w:rPr>
        <w:t xml:space="preserve">requires that there be </w:t>
      </w:r>
      <w:r w:rsidR="00AB494C">
        <w:rPr>
          <w:rFonts w:ascii="Times New Roman" w:hAnsi="Times New Roman" w:cs="Times New Roman"/>
          <w:sz w:val="24"/>
          <w:szCs w:val="24"/>
        </w:rPr>
        <w:t>uniform legal protection of databases</w:t>
      </w:r>
      <w:r w:rsidR="00A63C36">
        <w:rPr>
          <w:rFonts w:ascii="Times New Roman" w:hAnsi="Times New Roman" w:cs="Times New Roman"/>
          <w:sz w:val="24"/>
          <w:szCs w:val="24"/>
        </w:rPr>
        <w:t xml:space="preserve"> </w:t>
      </w:r>
      <w:r w:rsidR="00292B2E">
        <w:rPr>
          <w:rFonts w:ascii="Times New Roman" w:hAnsi="Times New Roman" w:cs="Times New Roman"/>
          <w:sz w:val="24"/>
          <w:szCs w:val="24"/>
        </w:rPr>
        <w:t xml:space="preserve">in the interests of </w:t>
      </w:r>
      <w:r w:rsidR="00A63C36">
        <w:rPr>
          <w:rFonts w:ascii="Times New Roman" w:hAnsi="Times New Roman" w:cs="Times New Roman"/>
          <w:sz w:val="24"/>
          <w:szCs w:val="24"/>
        </w:rPr>
        <w:t>stability</w:t>
      </w:r>
      <w:r w:rsidR="00AB494C">
        <w:rPr>
          <w:rFonts w:ascii="Times New Roman" w:hAnsi="Times New Roman" w:cs="Times New Roman"/>
          <w:sz w:val="24"/>
          <w:szCs w:val="24"/>
        </w:rPr>
        <w:t xml:space="preserve">. </w:t>
      </w:r>
      <w:r w:rsidR="00A63C36">
        <w:rPr>
          <w:rFonts w:ascii="Times New Roman" w:hAnsi="Times New Roman" w:cs="Times New Roman"/>
          <w:sz w:val="24"/>
          <w:szCs w:val="24"/>
        </w:rPr>
        <w:t>From this point of view</w:t>
      </w:r>
      <w:r w:rsidR="00751E85">
        <w:rPr>
          <w:rFonts w:ascii="Times New Roman" w:hAnsi="Times New Roman" w:cs="Times New Roman"/>
          <w:sz w:val="24"/>
          <w:szCs w:val="24"/>
        </w:rPr>
        <w:t>,</w:t>
      </w:r>
      <w:r w:rsidR="00AB494C">
        <w:rPr>
          <w:rFonts w:ascii="Times New Roman" w:hAnsi="Times New Roman" w:cs="Times New Roman"/>
          <w:sz w:val="24"/>
          <w:szCs w:val="24"/>
        </w:rPr>
        <w:t xml:space="preserve"> the 2004 CJEU interventions </w:t>
      </w:r>
      <w:r w:rsidR="00A63C36">
        <w:rPr>
          <w:rFonts w:ascii="Times New Roman" w:hAnsi="Times New Roman" w:cs="Times New Roman"/>
          <w:sz w:val="24"/>
          <w:szCs w:val="24"/>
        </w:rPr>
        <w:t>have effectively “</w:t>
      </w:r>
      <w:r w:rsidR="00AB494C">
        <w:rPr>
          <w:rFonts w:ascii="Times New Roman" w:hAnsi="Times New Roman" w:cs="Times New Roman"/>
          <w:sz w:val="24"/>
          <w:szCs w:val="24"/>
        </w:rPr>
        <w:t>sterilized</w:t>
      </w:r>
      <w:r w:rsidR="00A63C36">
        <w:rPr>
          <w:rFonts w:ascii="Times New Roman" w:hAnsi="Times New Roman" w:cs="Times New Roman"/>
          <w:sz w:val="24"/>
          <w:szCs w:val="24"/>
        </w:rPr>
        <w:t>”</w:t>
      </w:r>
      <w:r w:rsidR="00AB494C">
        <w:rPr>
          <w:rFonts w:ascii="Times New Roman" w:hAnsi="Times New Roman" w:cs="Times New Roman"/>
          <w:sz w:val="24"/>
          <w:szCs w:val="24"/>
        </w:rPr>
        <w:t xml:space="preserve"> the Directive</w:t>
      </w:r>
      <w:r w:rsidR="00751E85">
        <w:rPr>
          <w:rFonts w:ascii="Times New Roman" w:hAnsi="Times New Roman" w:cs="Times New Roman"/>
          <w:sz w:val="24"/>
          <w:szCs w:val="24"/>
        </w:rPr>
        <w:t>, thus not granting the ab</w:t>
      </w:r>
      <w:r w:rsidR="00B745E3">
        <w:rPr>
          <w:rFonts w:ascii="Times New Roman" w:hAnsi="Times New Roman" w:cs="Times New Roman"/>
          <w:sz w:val="24"/>
          <w:szCs w:val="24"/>
        </w:rPr>
        <w:t>ove-mentioned stable protection</w:t>
      </w:r>
      <w:r w:rsidR="00A63C36">
        <w:rPr>
          <w:rFonts w:ascii="Times New Roman" w:hAnsi="Times New Roman" w:cs="Times New Roman"/>
          <w:sz w:val="24"/>
          <w:szCs w:val="24"/>
        </w:rPr>
        <w:t>.</w:t>
      </w:r>
      <w:r w:rsidR="00751E85">
        <w:rPr>
          <w:rStyle w:val="FootnoteReference"/>
          <w:rFonts w:ascii="Times New Roman" w:hAnsi="Times New Roman" w:cs="Times New Roman"/>
          <w:sz w:val="24"/>
          <w:szCs w:val="24"/>
        </w:rPr>
        <w:footnoteReference w:id="38"/>
      </w:r>
      <w:r w:rsidR="00B745E3">
        <w:rPr>
          <w:rFonts w:ascii="Times New Roman" w:hAnsi="Times New Roman" w:cs="Times New Roman"/>
          <w:sz w:val="24"/>
          <w:szCs w:val="24"/>
        </w:rPr>
        <w:t xml:space="preserve"> </w:t>
      </w:r>
      <w:r w:rsidR="00292B2E">
        <w:rPr>
          <w:rFonts w:ascii="Times New Roman" w:hAnsi="Times New Roman" w:cs="Times New Roman"/>
          <w:sz w:val="24"/>
          <w:szCs w:val="24"/>
        </w:rPr>
        <w:t>I</w:t>
      </w:r>
      <w:r w:rsidR="00A016C5">
        <w:rPr>
          <w:rFonts w:ascii="Times New Roman" w:hAnsi="Times New Roman" w:cs="Times New Roman"/>
          <w:sz w:val="24"/>
          <w:szCs w:val="24"/>
        </w:rPr>
        <w:t xml:space="preserve">t should </w:t>
      </w:r>
      <w:r w:rsidR="00292B2E">
        <w:rPr>
          <w:rFonts w:ascii="Times New Roman" w:hAnsi="Times New Roman" w:cs="Times New Roman"/>
          <w:sz w:val="24"/>
          <w:szCs w:val="24"/>
        </w:rPr>
        <w:t xml:space="preserve">also </w:t>
      </w:r>
      <w:r w:rsidR="00A016C5">
        <w:rPr>
          <w:rFonts w:ascii="Times New Roman" w:hAnsi="Times New Roman" w:cs="Times New Roman"/>
          <w:sz w:val="24"/>
          <w:szCs w:val="24"/>
        </w:rPr>
        <w:t xml:space="preserve">be pointed out that, while the main goal of the Directive was to stimulate investment in this market, </w:t>
      </w:r>
      <w:proofErr w:type="gramStart"/>
      <w:r w:rsidR="00A016C5">
        <w:rPr>
          <w:rFonts w:ascii="Times New Roman" w:hAnsi="Times New Roman" w:cs="Times New Roman"/>
          <w:sz w:val="24"/>
          <w:szCs w:val="24"/>
        </w:rPr>
        <w:t>the majority of</w:t>
      </w:r>
      <w:proofErr w:type="gramEnd"/>
      <w:r w:rsidR="00A016C5">
        <w:rPr>
          <w:rFonts w:ascii="Times New Roman" w:hAnsi="Times New Roman" w:cs="Times New Roman"/>
          <w:sz w:val="24"/>
          <w:szCs w:val="24"/>
        </w:rPr>
        <w:t xml:space="preserve"> investments are </w:t>
      </w:r>
      <w:r w:rsidR="00292B2E">
        <w:rPr>
          <w:rFonts w:ascii="Times New Roman" w:hAnsi="Times New Roman" w:cs="Times New Roman"/>
          <w:sz w:val="24"/>
          <w:szCs w:val="24"/>
        </w:rPr>
        <w:t xml:space="preserve">in </w:t>
      </w:r>
      <w:r w:rsidR="00A016C5">
        <w:rPr>
          <w:rFonts w:ascii="Times New Roman" w:hAnsi="Times New Roman" w:cs="Times New Roman"/>
          <w:sz w:val="24"/>
          <w:szCs w:val="24"/>
        </w:rPr>
        <w:t>data creation.</w:t>
      </w:r>
      <w:r w:rsidR="00A016C5">
        <w:rPr>
          <w:rStyle w:val="FootnoteReference"/>
          <w:rFonts w:ascii="Times New Roman" w:hAnsi="Times New Roman" w:cs="Times New Roman"/>
          <w:sz w:val="24"/>
          <w:szCs w:val="24"/>
        </w:rPr>
        <w:footnoteReference w:id="39"/>
      </w:r>
    </w:p>
    <w:p w14:paraId="08822EA6" w14:textId="77777777" w:rsidR="003F3E6B" w:rsidRDefault="003F3E6B" w:rsidP="00437138">
      <w:pPr>
        <w:spacing w:after="0" w:line="240" w:lineRule="auto"/>
        <w:ind w:left="66"/>
        <w:jc w:val="both"/>
        <w:rPr>
          <w:rFonts w:ascii="Times New Roman" w:hAnsi="Times New Roman" w:cs="Times New Roman"/>
          <w:sz w:val="24"/>
          <w:szCs w:val="24"/>
        </w:rPr>
      </w:pPr>
    </w:p>
    <w:p w14:paraId="7DB72746" w14:textId="149549B5" w:rsidR="00E73939" w:rsidRDefault="000A293D" w:rsidP="004A4618">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One of the most controversial issues</w:t>
      </w:r>
      <w:r w:rsidR="00194BF4">
        <w:rPr>
          <w:rFonts w:ascii="Times New Roman" w:hAnsi="Times New Roman" w:cs="Times New Roman"/>
          <w:sz w:val="24"/>
          <w:szCs w:val="24"/>
        </w:rPr>
        <w:t xml:space="preserve"> </w:t>
      </w:r>
      <w:r w:rsidR="003F3E6B">
        <w:rPr>
          <w:rFonts w:ascii="Times New Roman" w:hAnsi="Times New Roman" w:cs="Times New Roman"/>
          <w:sz w:val="24"/>
          <w:szCs w:val="24"/>
        </w:rPr>
        <w:t xml:space="preserve">associated with </w:t>
      </w:r>
      <w:r w:rsidR="00194BF4">
        <w:rPr>
          <w:rFonts w:ascii="Times New Roman" w:hAnsi="Times New Roman" w:cs="Times New Roman"/>
          <w:sz w:val="24"/>
          <w:szCs w:val="24"/>
        </w:rPr>
        <w:t>the created/obtained dichotomy</w:t>
      </w:r>
      <w:r>
        <w:rPr>
          <w:rFonts w:ascii="Times New Roman" w:hAnsi="Times New Roman" w:cs="Times New Roman"/>
          <w:sz w:val="24"/>
          <w:szCs w:val="24"/>
        </w:rPr>
        <w:t xml:space="preserve"> concerns so-calle</w:t>
      </w:r>
      <w:r w:rsidR="00F772AF">
        <w:rPr>
          <w:rFonts w:ascii="Times New Roman" w:hAnsi="Times New Roman" w:cs="Times New Roman"/>
          <w:sz w:val="24"/>
          <w:szCs w:val="24"/>
        </w:rPr>
        <w:t>d recorded data,</w:t>
      </w:r>
      <w:r>
        <w:rPr>
          <w:rFonts w:ascii="Times New Roman" w:hAnsi="Times New Roman" w:cs="Times New Roman"/>
          <w:sz w:val="24"/>
          <w:szCs w:val="24"/>
        </w:rPr>
        <w:t xml:space="preserve"> </w:t>
      </w:r>
      <w:proofErr w:type="gramStart"/>
      <w:r w:rsidR="00F772AF">
        <w:rPr>
          <w:rFonts w:ascii="Times New Roman" w:hAnsi="Times New Roman" w:cs="Times New Roman"/>
          <w:sz w:val="24"/>
          <w:szCs w:val="24"/>
        </w:rPr>
        <w:t>i.e.</w:t>
      </w:r>
      <w:proofErr w:type="gramEnd"/>
      <w:r w:rsidR="00F772AF">
        <w:rPr>
          <w:rFonts w:ascii="Times New Roman" w:hAnsi="Times New Roman" w:cs="Times New Roman"/>
          <w:sz w:val="24"/>
          <w:szCs w:val="24"/>
        </w:rPr>
        <w:t xml:space="preserve"> </w:t>
      </w:r>
      <w:r w:rsidR="003F3E6B">
        <w:rPr>
          <w:rFonts w:ascii="Times New Roman" w:hAnsi="Times New Roman" w:cs="Times New Roman"/>
          <w:sz w:val="24"/>
          <w:szCs w:val="24"/>
        </w:rPr>
        <w:t>“</w:t>
      </w:r>
      <w:r w:rsidR="00F772AF">
        <w:rPr>
          <w:rFonts w:ascii="Times New Roman" w:hAnsi="Times New Roman" w:cs="Times New Roman"/>
          <w:i/>
          <w:sz w:val="24"/>
          <w:szCs w:val="24"/>
        </w:rPr>
        <w:t xml:space="preserve">data </w:t>
      </w:r>
      <w:r w:rsidR="00F772AF">
        <w:rPr>
          <w:rFonts w:ascii="Times New Roman" w:hAnsi="Times New Roman" w:cs="Times New Roman"/>
          <w:sz w:val="24"/>
          <w:szCs w:val="24"/>
        </w:rPr>
        <w:t xml:space="preserve">[that] </w:t>
      </w:r>
      <w:r w:rsidR="00F772AF">
        <w:rPr>
          <w:rFonts w:ascii="Times New Roman" w:hAnsi="Times New Roman" w:cs="Times New Roman"/>
          <w:i/>
          <w:sz w:val="24"/>
          <w:szCs w:val="24"/>
        </w:rPr>
        <w:t>occur in nature or in time and are generally recorded by instruments of measure in order for them to be intelligible by man</w:t>
      </w:r>
      <w:r w:rsidR="00AA2AF2">
        <w:rPr>
          <w:rFonts w:ascii="Times New Roman" w:hAnsi="Times New Roman" w:cs="Times New Roman"/>
          <w:i/>
          <w:sz w:val="24"/>
          <w:szCs w:val="24"/>
        </w:rPr>
        <w:t>. Examples include results of sport competitions, meteorological, astronomical data and genomic data</w:t>
      </w:r>
      <w:r w:rsidR="003F3E6B">
        <w:rPr>
          <w:rFonts w:ascii="Times New Roman" w:hAnsi="Times New Roman" w:cs="Times New Roman"/>
          <w:sz w:val="24"/>
          <w:szCs w:val="24"/>
        </w:rPr>
        <w:t>”.</w:t>
      </w:r>
      <w:r w:rsidR="00F772AF">
        <w:rPr>
          <w:rStyle w:val="FootnoteReference"/>
          <w:rFonts w:ascii="Times New Roman" w:hAnsi="Times New Roman" w:cs="Times New Roman"/>
          <w:sz w:val="24"/>
          <w:szCs w:val="24"/>
        </w:rPr>
        <w:footnoteReference w:id="40"/>
      </w:r>
      <w:r w:rsidR="00AA2AF2">
        <w:rPr>
          <w:rFonts w:ascii="Times New Roman" w:hAnsi="Times New Roman" w:cs="Times New Roman"/>
          <w:sz w:val="24"/>
          <w:szCs w:val="24"/>
        </w:rPr>
        <w:t xml:space="preserve"> </w:t>
      </w:r>
      <w:r w:rsidR="003F3E6B">
        <w:rPr>
          <w:rFonts w:ascii="Times New Roman" w:hAnsi="Times New Roman" w:cs="Times New Roman"/>
          <w:sz w:val="24"/>
          <w:szCs w:val="24"/>
        </w:rPr>
        <w:t>Here a</w:t>
      </w:r>
      <w:r w:rsidR="00AA2AF2">
        <w:rPr>
          <w:rFonts w:ascii="Times New Roman" w:hAnsi="Times New Roman" w:cs="Times New Roman"/>
          <w:sz w:val="24"/>
          <w:szCs w:val="24"/>
        </w:rPr>
        <w:t>gain, opinions</w:t>
      </w:r>
      <w:r w:rsidR="000D4799">
        <w:rPr>
          <w:rFonts w:ascii="Times New Roman" w:hAnsi="Times New Roman" w:cs="Times New Roman"/>
          <w:sz w:val="24"/>
          <w:szCs w:val="24"/>
        </w:rPr>
        <w:t xml:space="preserve"> di</w:t>
      </w:r>
      <w:r w:rsidR="003F3E6B">
        <w:rPr>
          <w:rFonts w:ascii="Times New Roman" w:hAnsi="Times New Roman" w:cs="Times New Roman"/>
          <w:sz w:val="24"/>
          <w:szCs w:val="24"/>
        </w:rPr>
        <w:t>ffer</w:t>
      </w:r>
      <w:r w:rsidR="00AA2AF2">
        <w:rPr>
          <w:rFonts w:ascii="Times New Roman" w:hAnsi="Times New Roman" w:cs="Times New Roman"/>
          <w:sz w:val="24"/>
          <w:szCs w:val="24"/>
        </w:rPr>
        <w:t xml:space="preserve">. </w:t>
      </w:r>
      <w:r w:rsidR="003F3E6B">
        <w:rPr>
          <w:rFonts w:ascii="Times New Roman" w:hAnsi="Times New Roman" w:cs="Times New Roman"/>
          <w:sz w:val="24"/>
          <w:szCs w:val="24"/>
        </w:rPr>
        <w:t>W</w:t>
      </w:r>
      <w:r w:rsidR="003F1A70">
        <w:rPr>
          <w:rFonts w:ascii="Times New Roman" w:hAnsi="Times New Roman" w:cs="Times New Roman"/>
          <w:sz w:val="24"/>
          <w:szCs w:val="24"/>
        </w:rPr>
        <w:t>hile some comme</w:t>
      </w:r>
      <w:r w:rsidR="00235B6B">
        <w:rPr>
          <w:rFonts w:ascii="Times New Roman" w:hAnsi="Times New Roman" w:cs="Times New Roman"/>
          <w:sz w:val="24"/>
          <w:szCs w:val="24"/>
        </w:rPr>
        <w:t xml:space="preserve">ntators argue that this data is </w:t>
      </w:r>
      <w:r w:rsidR="003F1A70">
        <w:rPr>
          <w:rFonts w:ascii="Times New Roman" w:hAnsi="Times New Roman" w:cs="Times New Roman"/>
          <w:sz w:val="24"/>
          <w:szCs w:val="24"/>
        </w:rPr>
        <w:t>created</w:t>
      </w:r>
      <w:r w:rsidR="003F3E6B">
        <w:rPr>
          <w:rFonts w:ascii="Times New Roman" w:hAnsi="Times New Roman" w:cs="Times New Roman"/>
          <w:sz w:val="24"/>
          <w:szCs w:val="24"/>
        </w:rPr>
        <w:t>,</w:t>
      </w:r>
      <w:r w:rsidR="003F1A70">
        <w:rPr>
          <w:rStyle w:val="FootnoteReference"/>
          <w:rFonts w:ascii="Times New Roman" w:hAnsi="Times New Roman" w:cs="Times New Roman"/>
          <w:sz w:val="24"/>
          <w:szCs w:val="24"/>
        </w:rPr>
        <w:footnoteReference w:id="41"/>
      </w:r>
      <w:r w:rsidR="005E617D">
        <w:rPr>
          <w:rFonts w:ascii="Times New Roman" w:hAnsi="Times New Roman" w:cs="Times New Roman"/>
          <w:sz w:val="24"/>
          <w:szCs w:val="24"/>
        </w:rPr>
        <w:t xml:space="preserve"> others </w:t>
      </w:r>
      <w:r w:rsidR="003819F9">
        <w:rPr>
          <w:rFonts w:ascii="Times New Roman" w:hAnsi="Times New Roman" w:cs="Times New Roman"/>
          <w:sz w:val="24"/>
          <w:szCs w:val="24"/>
        </w:rPr>
        <w:t xml:space="preserve">have </w:t>
      </w:r>
      <w:r w:rsidR="005E617D">
        <w:rPr>
          <w:rFonts w:ascii="Times New Roman" w:hAnsi="Times New Roman" w:cs="Times New Roman"/>
          <w:sz w:val="24"/>
          <w:szCs w:val="24"/>
        </w:rPr>
        <w:t>suggested that it is</w:t>
      </w:r>
      <w:r w:rsidR="00334DA4">
        <w:rPr>
          <w:rFonts w:ascii="Times New Roman" w:hAnsi="Times New Roman" w:cs="Times New Roman"/>
          <w:sz w:val="24"/>
          <w:szCs w:val="24"/>
        </w:rPr>
        <w:t xml:space="preserve"> both created </w:t>
      </w:r>
      <w:r w:rsidR="00334DA4">
        <w:rPr>
          <w:rFonts w:ascii="Times New Roman" w:hAnsi="Times New Roman" w:cs="Times New Roman"/>
          <w:sz w:val="24"/>
          <w:szCs w:val="24"/>
        </w:rPr>
        <w:lastRenderedPageBreak/>
        <w:t>and collected</w:t>
      </w:r>
      <w:r w:rsidR="003F3E6B">
        <w:rPr>
          <w:rFonts w:ascii="Times New Roman" w:hAnsi="Times New Roman" w:cs="Times New Roman"/>
          <w:sz w:val="24"/>
          <w:szCs w:val="24"/>
        </w:rPr>
        <w:t>,</w:t>
      </w:r>
      <w:r w:rsidR="00334DA4">
        <w:rPr>
          <w:rStyle w:val="FootnoteReference"/>
          <w:rFonts w:ascii="Times New Roman" w:hAnsi="Times New Roman" w:cs="Times New Roman"/>
          <w:sz w:val="24"/>
          <w:szCs w:val="24"/>
        </w:rPr>
        <w:footnoteReference w:id="42"/>
      </w:r>
      <w:r w:rsidR="003F3E6B">
        <w:rPr>
          <w:rFonts w:ascii="Times New Roman" w:hAnsi="Times New Roman" w:cs="Times New Roman"/>
          <w:sz w:val="24"/>
          <w:szCs w:val="24"/>
        </w:rPr>
        <w:t xml:space="preserve"> and others </w:t>
      </w:r>
      <w:r w:rsidR="005E617D">
        <w:rPr>
          <w:rFonts w:ascii="Times New Roman" w:hAnsi="Times New Roman" w:cs="Times New Roman"/>
          <w:sz w:val="24"/>
          <w:szCs w:val="24"/>
        </w:rPr>
        <w:t>that it is</w:t>
      </w:r>
      <w:r w:rsidR="00E01BCA">
        <w:rPr>
          <w:rFonts w:ascii="Times New Roman" w:hAnsi="Times New Roman" w:cs="Times New Roman"/>
          <w:sz w:val="24"/>
          <w:szCs w:val="24"/>
        </w:rPr>
        <w:t xml:space="preserve"> only obtaine</w:t>
      </w:r>
      <w:r w:rsidR="004D35F1">
        <w:rPr>
          <w:rFonts w:ascii="Times New Roman" w:hAnsi="Times New Roman" w:cs="Times New Roman"/>
          <w:sz w:val="24"/>
          <w:szCs w:val="24"/>
        </w:rPr>
        <w:t>d</w:t>
      </w:r>
      <w:r w:rsidR="003F3E6B">
        <w:rPr>
          <w:rFonts w:ascii="Times New Roman" w:hAnsi="Times New Roman" w:cs="Times New Roman"/>
          <w:sz w:val="24"/>
          <w:szCs w:val="24"/>
        </w:rPr>
        <w:t>.</w:t>
      </w:r>
      <w:r w:rsidR="00E01BCA">
        <w:rPr>
          <w:rStyle w:val="FootnoteReference"/>
          <w:rFonts w:ascii="Times New Roman" w:hAnsi="Times New Roman" w:cs="Times New Roman"/>
          <w:sz w:val="24"/>
          <w:szCs w:val="24"/>
        </w:rPr>
        <w:footnoteReference w:id="43"/>
      </w:r>
      <w:r w:rsidR="004D35F1">
        <w:rPr>
          <w:rFonts w:ascii="Times New Roman" w:hAnsi="Times New Roman" w:cs="Times New Roman"/>
          <w:sz w:val="24"/>
          <w:szCs w:val="24"/>
        </w:rPr>
        <w:t xml:space="preserve"> This la</w:t>
      </w:r>
      <w:r w:rsidR="003F3E6B">
        <w:rPr>
          <w:rFonts w:ascii="Times New Roman" w:hAnsi="Times New Roman" w:cs="Times New Roman"/>
          <w:sz w:val="24"/>
          <w:szCs w:val="24"/>
        </w:rPr>
        <w:t>tter</w:t>
      </w:r>
      <w:r w:rsidR="004D35F1">
        <w:rPr>
          <w:rFonts w:ascii="Times New Roman" w:hAnsi="Times New Roman" w:cs="Times New Roman"/>
          <w:sz w:val="24"/>
          <w:szCs w:val="24"/>
        </w:rPr>
        <w:t xml:space="preserve"> position has been indirectly </w:t>
      </w:r>
      <w:r w:rsidR="003F3E6B">
        <w:rPr>
          <w:rFonts w:ascii="Times New Roman" w:hAnsi="Times New Roman" w:cs="Times New Roman"/>
          <w:sz w:val="24"/>
          <w:szCs w:val="24"/>
        </w:rPr>
        <w:t>adopted</w:t>
      </w:r>
      <w:r w:rsidR="004D35F1">
        <w:rPr>
          <w:rFonts w:ascii="Times New Roman" w:hAnsi="Times New Roman" w:cs="Times New Roman"/>
          <w:sz w:val="24"/>
          <w:szCs w:val="24"/>
        </w:rPr>
        <w:t xml:space="preserve"> by the CJEU in </w:t>
      </w:r>
      <w:r w:rsidR="004D35F1" w:rsidRPr="002E7346">
        <w:rPr>
          <w:rFonts w:ascii="Times New Roman" w:hAnsi="Times New Roman" w:cs="Times New Roman"/>
          <w:i/>
          <w:iCs/>
          <w:sz w:val="24"/>
          <w:szCs w:val="24"/>
        </w:rPr>
        <w:t xml:space="preserve">Verlag </w:t>
      </w:r>
      <w:proofErr w:type="spellStart"/>
      <w:r w:rsidR="004D35F1" w:rsidRPr="002E7346">
        <w:rPr>
          <w:rFonts w:ascii="Times New Roman" w:hAnsi="Times New Roman" w:cs="Times New Roman"/>
          <w:i/>
          <w:iCs/>
          <w:sz w:val="24"/>
          <w:szCs w:val="24"/>
        </w:rPr>
        <w:t>Esterbauer</w:t>
      </w:r>
      <w:proofErr w:type="spellEnd"/>
      <w:r w:rsidR="003F3E6B">
        <w:rPr>
          <w:rFonts w:ascii="Times New Roman" w:hAnsi="Times New Roman" w:cs="Times New Roman"/>
          <w:i/>
          <w:iCs/>
          <w:sz w:val="24"/>
          <w:szCs w:val="24"/>
        </w:rPr>
        <w:t>.</w:t>
      </w:r>
      <w:r w:rsidR="004D35F1">
        <w:rPr>
          <w:rStyle w:val="FootnoteReference"/>
          <w:rFonts w:ascii="Times New Roman" w:hAnsi="Times New Roman" w:cs="Times New Roman"/>
          <w:sz w:val="24"/>
          <w:szCs w:val="24"/>
        </w:rPr>
        <w:footnoteReference w:id="44"/>
      </w:r>
      <w:r w:rsidR="00194BF4">
        <w:rPr>
          <w:rFonts w:ascii="Times New Roman" w:hAnsi="Times New Roman" w:cs="Times New Roman"/>
          <w:sz w:val="24"/>
          <w:szCs w:val="24"/>
        </w:rPr>
        <w:t xml:space="preserve"> In this </w:t>
      </w:r>
      <w:r w:rsidR="000D4799">
        <w:rPr>
          <w:rFonts w:ascii="Times New Roman" w:hAnsi="Times New Roman" w:cs="Times New Roman"/>
          <w:sz w:val="24"/>
          <w:szCs w:val="24"/>
        </w:rPr>
        <w:t>case</w:t>
      </w:r>
      <w:r w:rsidR="004D35F1">
        <w:rPr>
          <w:rFonts w:ascii="Times New Roman" w:hAnsi="Times New Roman" w:cs="Times New Roman"/>
          <w:sz w:val="24"/>
          <w:szCs w:val="24"/>
        </w:rPr>
        <w:t xml:space="preserve">, </w:t>
      </w:r>
      <w:proofErr w:type="spellStart"/>
      <w:r w:rsidR="004D35F1">
        <w:rPr>
          <w:rFonts w:ascii="Times New Roman" w:hAnsi="Times New Roman" w:cs="Times New Roman"/>
          <w:sz w:val="24"/>
          <w:szCs w:val="24"/>
        </w:rPr>
        <w:t>Freistaat</w:t>
      </w:r>
      <w:proofErr w:type="spellEnd"/>
      <w:r w:rsidR="004D35F1">
        <w:rPr>
          <w:rFonts w:ascii="Times New Roman" w:hAnsi="Times New Roman" w:cs="Times New Roman"/>
          <w:sz w:val="24"/>
          <w:szCs w:val="24"/>
        </w:rPr>
        <w:t xml:space="preserve"> Bayern and the company Verlag </w:t>
      </w:r>
      <w:proofErr w:type="spellStart"/>
      <w:r w:rsidR="004D35F1">
        <w:rPr>
          <w:rFonts w:ascii="Times New Roman" w:hAnsi="Times New Roman" w:cs="Times New Roman"/>
          <w:sz w:val="24"/>
          <w:szCs w:val="24"/>
        </w:rPr>
        <w:t>Esterbauer</w:t>
      </w:r>
      <w:proofErr w:type="spellEnd"/>
      <w:r w:rsidR="004D35F1">
        <w:rPr>
          <w:rFonts w:ascii="Times New Roman" w:hAnsi="Times New Roman" w:cs="Times New Roman"/>
          <w:sz w:val="24"/>
          <w:szCs w:val="24"/>
        </w:rPr>
        <w:t xml:space="preserve"> GmbH </w:t>
      </w:r>
      <w:r w:rsidR="003F3E6B">
        <w:rPr>
          <w:rFonts w:ascii="Times New Roman" w:hAnsi="Times New Roman" w:cs="Times New Roman"/>
          <w:sz w:val="24"/>
          <w:szCs w:val="24"/>
        </w:rPr>
        <w:t xml:space="preserve">were in </w:t>
      </w:r>
      <w:r w:rsidR="00EB6DE4">
        <w:rPr>
          <w:rFonts w:ascii="Times New Roman" w:hAnsi="Times New Roman" w:cs="Times New Roman"/>
          <w:sz w:val="24"/>
          <w:szCs w:val="24"/>
        </w:rPr>
        <w:t>dispute</w:t>
      </w:r>
      <w:r w:rsidR="003F3E6B">
        <w:rPr>
          <w:rFonts w:ascii="Times New Roman" w:hAnsi="Times New Roman" w:cs="Times New Roman"/>
          <w:sz w:val="24"/>
          <w:szCs w:val="24"/>
        </w:rPr>
        <w:t xml:space="preserve"> over </w:t>
      </w:r>
      <w:r w:rsidR="004D35F1">
        <w:rPr>
          <w:rFonts w:ascii="Times New Roman" w:hAnsi="Times New Roman" w:cs="Times New Roman"/>
          <w:sz w:val="24"/>
          <w:szCs w:val="24"/>
        </w:rPr>
        <w:t>the protection under the Database D</w:t>
      </w:r>
      <w:r w:rsidR="00880457">
        <w:rPr>
          <w:rFonts w:ascii="Times New Roman" w:hAnsi="Times New Roman" w:cs="Times New Roman"/>
          <w:sz w:val="24"/>
          <w:szCs w:val="24"/>
        </w:rPr>
        <w:t xml:space="preserve">irective of </w:t>
      </w:r>
      <w:r w:rsidR="000D4799">
        <w:rPr>
          <w:rFonts w:ascii="Times New Roman" w:hAnsi="Times New Roman" w:cs="Times New Roman"/>
          <w:sz w:val="24"/>
          <w:szCs w:val="24"/>
        </w:rPr>
        <w:t xml:space="preserve">a </w:t>
      </w:r>
      <w:r w:rsidR="005157AA">
        <w:rPr>
          <w:rFonts w:ascii="Times New Roman" w:hAnsi="Times New Roman" w:cs="Times New Roman"/>
          <w:sz w:val="24"/>
          <w:szCs w:val="24"/>
        </w:rPr>
        <w:t>topographic</w:t>
      </w:r>
      <w:r w:rsidR="003819F9">
        <w:rPr>
          <w:rFonts w:ascii="Times New Roman" w:hAnsi="Times New Roman" w:cs="Times New Roman"/>
          <w:sz w:val="24"/>
          <w:szCs w:val="24"/>
        </w:rPr>
        <w:t>al</w:t>
      </w:r>
      <w:r w:rsidR="005157AA">
        <w:rPr>
          <w:rFonts w:ascii="Times New Roman" w:hAnsi="Times New Roman" w:cs="Times New Roman"/>
          <w:sz w:val="24"/>
          <w:szCs w:val="24"/>
        </w:rPr>
        <w:t xml:space="preserve"> map. It </w:t>
      </w:r>
      <w:r w:rsidR="003F3E6B">
        <w:rPr>
          <w:rFonts w:ascii="Times New Roman" w:hAnsi="Times New Roman" w:cs="Times New Roman"/>
          <w:sz w:val="24"/>
          <w:szCs w:val="24"/>
        </w:rPr>
        <w:t xml:space="preserve">is </w:t>
      </w:r>
      <w:r w:rsidR="00880457">
        <w:rPr>
          <w:rFonts w:ascii="Times New Roman" w:hAnsi="Times New Roman" w:cs="Times New Roman"/>
          <w:sz w:val="24"/>
          <w:szCs w:val="24"/>
        </w:rPr>
        <w:t>significant that neither the parties nor the judge who referred the question</w:t>
      </w:r>
      <w:r w:rsidR="005157AA">
        <w:rPr>
          <w:rFonts w:ascii="Times New Roman" w:hAnsi="Times New Roman" w:cs="Times New Roman"/>
          <w:sz w:val="24"/>
          <w:szCs w:val="24"/>
        </w:rPr>
        <w:t xml:space="preserve"> to</w:t>
      </w:r>
      <w:r w:rsidR="00880457">
        <w:rPr>
          <w:rFonts w:ascii="Times New Roman" w:hAnsi="Times New Roman" w:cs="Times New Roman"/>
          <w:sz w:val="24"/>
          <w:szCs w:val="24"/>
        </w:rPr>
        <w:t xml:space="preserve"> the CJEU</w:t>
      </w:r>
      <w:r w:rsidR="004D35F1">
        <w:rPr>
          <w:rFonts w:ascii="Times New Roman" w:hAnsi="Times New Roman" w:cs="Times New Roman"/>
          <w:sz w:val="24"/>
          <w:szCs w:val="24"/>
        </w:rPr>
        <w:t xml:space="preserve"> </w:t>
      </w:r>
      <w:r w:rsidR="005157AA">
        <w:rPr>
          <w:rFonts w:ascii="Times New Roman" w:hAnsi="Times New Roman" w:cs="Times New Roman"/>
          <w:sz w:val="24"/>
          <w:szCs w:val="24"/>
        </w:rPr>
        <w:t>suggested that topographic</w:t>
      </w:r>
      <w:r w:rsidR="003819F9">
        <w:rPr>
          <w:rFonts w:ascii="Times New Roman" w:hAnsi="Times New Roman" w:cs="Times New Roman"/>
          <w:sz w:val="24"/>
          <w:szCs w:val="24"/>
        </w:rPr>
        <w:t>al</w:t>
      </w:r>
      <w:r w:rsidR="005157AA">
        <w:rPr>
          <w:rFonts w:ascii="Times New Roman" w:hAnsi="Times New Roman" w:cs="Times New Roman"/>
          <w:sz w:val="24"/>
          <w:szCs w:val="24"/>
        </w:rPr>
        <w:t xml:space="preserve"> data might be considered as created rather than obtained.</w:t>
      </w:r>
      <w:r w:rsidR="00880457" w:rsidRPr="00194BF4">
        <w:rPr>
          <w:rFonts w:ascii="Times New Roman" w:hAnsi="Times New Roman" w:cs="Times New Roman"/>
          <w:sz w:val="24"/>
          <w:szCs w:val="24"/>
        </w:rPr>
        <w:t xml:space="preserve"> In addition, </w:t>
      </w:r>
      <w:r w:rsidR="005157AA">
        <w:rPr>
          <w:rFonts w:ascii="Times New Roman" w:hAnsi="Times New Roman" w:cs="Times New Roman"/>
          <w:sz w:val="24"/>
          <w:szCs w:val="24"/>
        </w:rPr>
        <w:t xml:space="preserve">the data </w:t>
      </w:r>
      <w:r w:rsidR="003F3E6B">
        <w:rPr>
          <w:rFonts w:ascii="Times New Roman" w:hAnsi="Times New Roman" w:cs="Times New Roman"/>
          <w:sz w:val="24"/>
          <w:szCs w:val="24"/>
        </w:rPr>
        <w:t xml:space="preserve">involved in </w:t>
      </w:r>
      <w:r w:rsidR="005E617D">
        <w:rPr>
          <w:rFonts w:ascii="Times New Roman" w:hAnsi="Times New Roman" w:cs="Times New Roman"/>
          <w:sz w:val="24"/>
          <w:szCs w:val="24"/>
        </w:rPr>
        <w:t>a</w:t>
      </w:r>
      <w:r w:rsidR="005157AA">
        <w:rPr>
          <w:rFonts w:ascii="Times New Roman" w:hAnsi="Times New Roman" w:cs="Times New Roman"/>
          <w:sz w:val="24"/>
          <w:szCs w:val="24"/>
        </w:rPr>
        <w:t xml:space="preserve"> recording is </w:t>
      </w:r>
      <w:r w:rsidR="00880457" w:rsidRPr="00194BF4">
        <w:rPr>
          <w:rFonts w:ascii="Times New Roman" w:hAnsi="Times New Roman" w:cs="Times New Roman"/>
          <w:sz w:val="24"/>
          <w:szCs w:val="24"/>
        </w:rPr>
        <w:t>pre-existing i</w:t>
      </w:r>
      <w:r w:rsidR="005E617D">
        <w:rPr>
          <w:rFonts w:ascii="Times New Roman" w:hAnsi="Times New Roman" w:cs="Times New Roman"/>
          <w:sz w:val="24"/>
          <w:szCs w:val="24"/>
        </w:rPr>
        <w:t>nformation, and this operation</w:t>
      </w:r>
      <w:r w:rsidR="00880457" w:rsidRPr="00194BF4">
        <w:rPr>
          <w:rFonts w:ascii="Times New Roman" w:hAnsi="Times New Roman" w:cs="Times New Roman"/>
          <w:sz w:val="24"/>
          <w:szCs w:val="24"/>
        </w:rPr>
        <w:t>, finaliz</w:t>
      </w:r>
      <w:r w:rsidR="005157AA">
        <w:rPr>
          <w:rFonts w:ascii="Times New Roman" w:hAnsi="Times New Roman" w:cs="Times New Roman"/>
          <w:sz w:val="24"/>
          <w:szCs w:val="24"/>
        </w:rPr>
        <w:t>ed to make it</w:t>
      </w:r>
      <w:r w:rsidR="00194BF4" w:rsidRPr="00194BF4">
        <w:rPr>
          <w:rFonts w:ascii="Times New Roman" w:hAnsi="Times New Roman" w:cs="Times New Roman"/>
          <w:sz w:val="24"/>
          <w:szCs w:val="24"/>
        </w:rPr>
        <w:t xml:space="preserve"> intelligible, </w:t>
      </w:r>
      <w:r w:rsidR="003F3E6B">
        <w:rPr>
          <w:rFonts w:ascii="Times New Roman" w:hAnsi="Times New Roman" w:cs="Times New Roman"/>
          <w:sz w:val="24"/>
          <w:szCs w:val="24"/>
        </w:rPr>
        <w:t xml:space="preserve">would seem to be </w:t>
      </w:r>
      <w:r w:rsidR="00880457" w:rsidRPr="00194BF4">
        <w:rPr>
          <w:rFonts w:ascii="Times New Roman" w:hAnsi="Times New Roman" w:cs="Times New Roman"/>
          <w:sz w:val="24"/>
          <w:szCs w:val="24"/>
        </w:rPr>
        <w:t>nothing more</w:t>
      </w:r>
      <w:r w:rsidR="005157AA">
        <w:rPr>
          <w:rFonts w:ascii="Times New Roman" w:hAnsi="Times New Roman" w:cs="Times New Roman"/>
          <w:sz w:val="24"/>
          <w:szCs w:val="24"/>
        </w:rPr>
        <w:t xml:space="preserve"> than</w:t>
      </w:r>
      <w:r w:rsidR="00880457" w:rsidRPr="00194BF4">
        <w:rPr>
          <w:rFonts w:ascii="Times New Roman" w:hAnsi="Times New Roman" w:cs="Times New Roman"/>
          <w:sz w:val="24"/>
          <w:szCs w:val="24"/>
        </w:rPr>
        <w:t xml:space="preserve"> the</w:t>
      </w:r>
      <w:r w:rsidR="009625EF" w:rsidRPr="00194BF4">
        <w:rPr>
          <w:rFonts w:ascii="Times New Roman" w:hAnsi="Times New Roman" w:cs="Times New Roman"/>
          <w:sz w:val="24"/>
          <w:szCs w:val="24"/>
        </w:rPr>
        <w:t xml:space="preserve"> processing of information that</w:t>
      </w:r>
      <w:r w:rsidR="00880457" w:rsidRPr="00194BF4">
        <w:rPr>
          <w:rFonts w:ascii="Times New Roman" w:hAnsi="Times New Roman" w:cs="Times New Roman"/>
          <w:sz w:val="24"/>
          <w:szCs w:val="24"/>
        </w:rPr>
        <w:t xml:space="preserve"> the Directive aims to promote.</w:t>
      </w:r>
      <w:r w:rsidR="00880457">
        <w:rPr>
          <w:rFonts w:ascii="Times New Roman" w:hAnsi="Times New Roman" w:cs="Times New Roman"/>
          <w:sz w:val="24"/>
          <w:szCs w:val="24"/>
        </w:rPr>
        <w:t xml:space="preserve"> Furthermore, this conclusion is supported by the great difference between created data </w:t>
      </w:r>
      <w:r w:rsidR="00472F5B">
        <w:rPr>
          <w:rFonts w:ascii="Times New Roman" w:hAnsi="Times New Roman" w:cs="Times New Roman"/>
          <w:sz w:val="24"/>
          <w:szCs w:val="24"/>
        </w:rPr>
        <w:t>(</w:t>
      </w:r>
      <w:r w:rsidR="003F3E6B">
        <w:rPr>
          <w:rFonts w:ascii="Times New Roman" w:hAnsi="Times New Roman" w:cs="Times New Roman"/>
          <w:sz w:val="24"/>
          <w:szCs w:val="24"/>
        </w:rPr>
        <w:t xml:space="preserve">such as </w:t>
      </w:r>
      <w:r w:rsidR="00454986">
        <w:rPr>
          <w:rFonts w:ascii="Times New Roman" w:hAnsi="Times New Roman" w:cs="Times New Roman"/>
          <w:sz w:val="24"/>
          <w:szCs w:val="24"/>
        </w:rPr>
        <w:t xml:space="preserve">the </w:t>
      </w:r>
      <w:r w:rsidR="003F3E6B">
        <w:rPr>
          <w:rFonts w:ascii="Times New Roman" w:hAnsi="Times New Roman" w:cs="Times New Roman"/>
          <w:sz w:val="24"/>
          <w:szCs w:val="24"/>
        </w:rPr>
        <w:t xml:space="preserve">match </w:t>
      </w:r>
      <w:r w:rsidR="00454986">
        <w:rPr>
          <w:rFonts w:ascii="Times New Roman" w:hAnsi="Times New Roman" w:cs="Times New Roman"/>
          <w:sz w:val="24"/>
          <w:szCs w:val="24"/>
        </w:rPr>
        <w:t xml:space="preserve">fixtures </w:t>
      </w:r>
      <w:r w:rsidR="002A2B01">
        <w:rPr>
          <w:rFonts w:ascii="Times New Roman" w:hAnsi="Times New Roman" w:cs="Times New Roman"/>
          <w:sz w:val="24"/>
          <w:szCs w:val="24"/>
        </w:rPr>
        <w:t>organized by national football association</w:t>
      </w:r>
      <w:r w:rsidR="00454986">
        <w:rPr>
          <w:rFonts w:ascii="Times New Roman" w:hAnsi="Times New Roman" w:cs="Times New Roman"/>
          <w:sz w:val="24"/>
          <w:szCs w:val="24"/>
        </w:rPr>
        <w:t>s</w:t>
      </w:r>
      <w:r w:rsidR="003F3E6B">
        <w:rPr>
          <w:rFonts w:ascii="Times New Roman" w:hAnsi="Times New Roman" w:cs="Times New Roman"/>
          <w:sz w:val="24"/>
          <w:szCs w:val="24"/>
        </w:rPr>
        <w:t xml:space="preserve">, which do </w:t>
      </w:r>
      <w:r w:rsidR="002A2B01">
        <w:rPr>
          <w:rFonts w:ascii="Times New Roman" w:hAnsi="Times New Roman" w:cs="Times New Roman"/>
          <w:sz w:val="24"/>
          <w:szCs w:val="24"/>
        </w:rPr>
        <w:t>not exist before the</w:t>
      </w:r>
      <w:r w:rsidR="003F3E6B">
        <w:rPr>
          <w:rFonts w:ascii="Times New Roman" w:hAnsi="Times New Roman" w:cs="Times New Roman"/>
          <w:sz w:val="24"/>
          <w:szCs w:val="24"/>
        </w:rPr>
        <w:t xml:space="preserve">y are </w:t>
      </w:r>
      <w:r w:rsidR="00472F5B">
        <w:rPr>
          <w:rFonts w:ascii="Times New Roman" w:hAnsi="Times New Roman" w:cs="Times New Roman"/>
          <w:sz w:val="24"/>
          <w:szCs w:val="24"/>
        </w:rPr>
        <w:t>arranged)</w:t>
      </w:r>
      <w:r w:rsidR="002A2B01">
        <w:rPr>
          <w:rFonts w:ascii="Times New Roman" w:hAnsi="Times New Roman" w:cs="Times New Roman"/>
          <w:sz w:val="24"/>
          <w:szCs w:val="24"/>
        </w:rPr>
        <w:t xml:space="preserve"> </w:t>
      </w:r>
      <w:r w:rsidR="00880457">
        <w:rPr>
          <w:rFonts w:ascii="Times New Roman" w:hAnsi="Times New Roman" w:cs="Times New Roman"/>
          <w:sz w:val="24"/>
          <w:szCs w:val="24"/>
        </w:rPr>
        <w:t xml:space="preserve">and </w:t>
      </w:r>
      <w:r w:rsidR="002A2B01">
        <w:rPr>
          <w:rFonts w:ascii="Times New Roman" w:hAnsi="Times New Roman" w:cs="Times New Roman"/>
          <w:sz w:val="24"/>
          <w:szCs w:val="24"/>
        </w:rPr>
        <w:t>recorded data</w:t>
      </w:r>
      <w:r w:rsidR="00472F5B">
        <w:rPr>
          <w:rFonts w:ascii="Times New Roman" w:hAnsi="Times New Roman" w:cs="Times New Roman"/>
          <w:sz w:val="24"/>
          <w:szCs w:val="24"/>
        </w:rPr>
        <w:t xml:space="preserve"> (such as </w:t>
      </w:r>
      <w:r w:rsidR="00DC10C8">
        <w:rPr>
          <w:rFonts w:ascii="Times New Roman" w:hAnsi="Times New Roman" w:cs="Times New Roman"/>
          <w:sz w:val="24"/>
          <w:szCs w:val="24"/>
        </w:rPr>
        <w:t>geographical or astronomical coordinates</w:t>
      </w:r>
      <w:r w:rsidR="00472F5B">
        <w:rPr>
          <w:rFonts w:ascii="Times New Roman" w:hAnsi="Times New Roman" w:cs="Times New Roman"/>
          <w:sz w:val="24"/>
          <w:szCs w:val="24"/>
        </w:rPr>
        <w:t xml:space="preserve">, </w:t>
      </w:r>
      <w:proofErr w:type="gramStart"/>
      <w:r w:rsidR="00472F5B">
        <w:rPr>
          <w:rFonts w:ascii="Times New Roman" w:hAnsi="Times New Roman" w:cs="Times New Roman"/>
          <w:sz w:val="24"/>
          <w:szCs w:val="24"/>
        </w:rPr>
        <w:t xml:space="preserve">which  </w:t>
      </w:r>
      <w:r w:rsidR="00DC10C8">
        <w:rPr>
          <w:rFonts w:ascii="Times New Roman" w:hAnsi="Times New Roman" w:cs="Times New Roman"/>
          <w:sz w:val="24"/>
          <w:szCs w:val="24"/>
        </w:rPr>
        <w:t>exist</w:t>
      </w:r>
      <w:proofErr w:type="gramEnd"/>
      <w:r w:rsidR="00DC10C8">
        <w:rPr>
          <w:rFonts w:ascii="Times New Roman" w:hAnsi="Times New Roman" w:cs="Times New Roman"/>
          <w:sz w:val="24"/>
          <w:szCs w:val="24"/>
        </w:rPr>
        <w:t xml:space="preserve"> independently </w:t>
      </w:r>
      <w:r w:rsidR="00472F5B">
        <w:rPr>
          <w:rFonts w:ascii="Times New Roman" w:hAnsi="Times New Roman" w:cs="Times New Roman"/>
          <w:sz w:val="24"/>
          <w:szCs w:val="24"/>
        </w:rPr>
        <w:t>of</w:t>
      </w:r>
      <w:r w:rsidR="00DC10C8">
        <w:rPr>
          <w:rFonts w:ascii="Times New Roman" w:hAnsi="Times New Roman" w:cs="Times New Roman"/>
          <w:sz w:val="24"/>
          <w:szCs w:val="24"/>
        </w:rPr>
        <w:t xml:space="preserve"> their recording</w:t>
      </w:r>
      <w:r w:rsidR="00472F5B">
        <w:rPr>
          <w:rFonts w:ascii="Times New Roman" w:hAnsi="Times New Roman" w:cs="Times New Roman"/>
          <w:sz w:val="24"/>
          <w:szCs w:val="24"/>
        </w:rPr>
        <w:t>)</w:t>
      </w:r>
      <w:r w:rsidR="00DC10C8">
        <w:rPr>
          <w:rFonts w:ascii="Times New Roman" w:hAnsi="Times New Roman" w:cs="Times New Roman"/>
          <w:sz w:val="24"/>
          <w:szCs w:val="24"/>
        </w:rPr>
        <w:t>.</w:t>
      </w:r>
    </w:p>
    <w:p w14:paraId="126FB02B" w14:textId="77777777" w:rsidR="00472F5B" w:rsidRDefault="00472F5B" w:rsidP="004A4618">
      <w:pPr>
        <w:spacing w:after="0" w:line="240" w:lineRule="auto"/>
        <w:ind w:left="66"/>
        <w:jc w:val="both"/>
        <w:rPr>
          <w:rFonts w:ascii="Times New Roman" w:hAnsi="Times New Roman" w:cs="Times New Roman"/>
          <w:sz w:val="24"/>
          <w:szCs w:val="24"/>
        </w:rPr>
      </w:pPr>
    </w:p>
    <w:p w14:paraId="21C89281" w14:textId="6D2A5944" w:rsidR="00437138" w:rsidRPr="00A3759B" w:rsidRDefault="007B58C8" w:rsidP="008517D2">
      <w:pPr>
        <w:spacing w:after="0" w:line="240" w:lineRule="auto"/>
        <w:ind w:left="66"/>
        <w:jc w:val="both"/>
        <w:rPr>
          <w:rFonts w:ascii="Times New Roman" w:hAnsi="Times New Roman" w:cs="Times New Roman"/>
          <w:sz w:val="24"/>
          <w:szCs w:val="24"/>
        </w:rPr>
      </w:pPr>
      <w:r w:rsidRPr="007B58C8">
        <w:rPr>
          <w:rFonts w:ascii="Times New Roman" w:hAnsi="Times New Roman" w:cs="Times New Roman"/>
          <w:sz w:val="24"/>
          <w:szCs w:val="24"/>
        </w:rPr>
        <w:t xml:space="preserve">Moving </w:t>
      </w:r>
      <w:r w:rsidR="00472F5B">
        <w:rPr>
          <w:rFonts w:ascii="Times New Roman" w:hAnsi="Times New Roman" w:cs="Times New Roman"/>
          <w:sz w:val="24"/>
          <w:szCs w:val="24"/>
        </w:rPr>
        <w:t xml:space="preserve">on </w:t>
      </w:r>
      <w:r w:rsidRPr="007B58C8">
        <w:rPr>
          <w:rFonts w:ascii="Times New Roman" w:hAnsi="Times New Roman" w:cs="Times New Roman"/>
          <w:sz w:val="24"/>
          <w:szCs w:val="24"/>
        </w:rPr>
        <w:t xml:space="preserve">to the requirement set </w:t>
      </w:r>
      <w:r w:rsidR="000D4799">
        <w:rPr>
          <w:rFonts w:ascii="Times New Roman" w:hAnsi="Times New Roman" w:cs="Times New Roman"/>
          <w:sz w:val="24"/>
          <w:szCs w:val="24"/>
        </w:rPr>
        <w:t xml:space="preserve">forth </w:t>
      </w:r>
      <w:r w:rsidR="00472F5B">
        <w:rPr>
          <w:rFonts w:ascii="Times New Roman" w:hAnsi="Times New Roman" w:cs="Times New Roman"/>
          <w:sz w:val="24"/>
          <w:szCs w:val="24"/>
        </w:rPr>
        <w:t>in</w:t>
      </w:r>
      <w:r w:rsidRPr="007B58C8">
        <w:rPr>
          <w:rFonts w:ascii="Times New Roman" w:hAnsi="Times New Roman" w:cs="Times New Roman"/>
          <w:sz w:val="24"/>
          <w:szCs w:val="24"/>
        </w:rPr>
        <w:t xml:space="preserve"> </w:t>
      </w:r>
      <w:r w:rsidR="000D4799">
        <w:rPr>
          <w:rFonts w:ascii="Times New Roman" w:hAnsi="Times New Roman" w:cs="Times New Roman"/>
          <w:sz w:val="24"/>
          <w:szCs w:val="24"/>
        </w:rPr>
        <w:t>A</w:t>
      </w:r>
      <w:r>
        <w:rPr>
          <w:rFonts w:ascii="Times New Roman" w:hAnsi="Times New Roman" w:cs="Times New Roman"/>
          <w:sz w:val="24"/>
          <w:szCs w:val="24"/>
        </w:rPr>
        <w:t xml:space="preserve">rticle 7 </w:t>
      </w:r>
      <w:r w:rsidR="00472F5B">
        <w:rPr>
          <w:rFonts w:ascii="Times New Roman" w:hAnsi="Times New Roman" w:cs="Times New Roman"/>
          <w:sz w:val="24"/>
          <w:szCs w:val="24"/>
        </w:rPr>
        <w:t>relating</w:t>
      </w:r>
      <w:r>
        <w:rPr>
          <w:rFonts w:ascii="Times New Roman" w:hAnsi="Times New Roman" w:cs="Times New Roman"/>
          <w:sz w:val="24"/>
          <w:szCs w:val="24"/>
        </w:rPr>
        <w:t xml:space="preserve"> to the </w:t>
      </w:r>
      <w:r w:rsidR="00472F5B">
        <w:rPr>
          <w:rFonts w:ascii="Times New Roman" w:hAnsi="Times New Roman" w:cs="Times New Roman"/>
          <w:sz w:val="24"/>
          <w:szCs w:val="24"/>
        </w:rPr>
        <w:t>“</w:t>
      </w:r>
      <w:r>
        <w:rPr>
          <w:rFonts w:ascii="Times New Roman" w:hAnsi="Times New Roman" w:cs="Times New Roman"/>
          <w:sz w:val="24"/>
          <w:szCs w:val="24"/>
        </w:rPr>
        <w:t>verifying</w:t>
      </w:r>
      <w:r w:rsidR="00472F5B">
        <w:rPr>
          <w:rFonts w:ascii="Times New Roman" w:hAnsi="Times New Roman" w:cs="Times New Roman"/>
          <w:sz w:val="24"/>
          <w:szCs w:val="24"/>
        </w:rPr>
        <w:t>”</w:t>
      </w:r>
      <w:r>
        <w:rPr>
          <w:rFonts w:ascii="Times New Roman" w:hAnsi="Times New Roman" w:cs="Times New Roman"/>
          <w:sz w:val="24"/>
          <w:szCs w:val="24"/>
        </w:rPr>
        <w:t xml:space="preserve"> and </w:t>
      </w:r>
      <w:r w:rsidR="00472F5B">
        <w:rPr>
          <w:rFonts w:ascii="Times New Roman" w:hAnsi="Times New Roman" w:cs="Times New Roman"/>
          <w:sz w:val="24"/>
          <w:szCs w:val="24"/>
        </w:rPr>
        <w:t>“</w:t>
      </w:r>
      <w:r>
        <w:rPr>
          <w:rFonts w:ascii="Times New Roman" w:hAnsi="Times New Roman" w:cs="Times New Roman"/>
          <w:sz w:val="24"/>
          <w:szCs w:val="24"/>
        </w:rPr>
        <w:t>presenting</w:t>
      </w:r>
      <w:r w:rsidR="00472F5B">
        <w:rPr>
          <w:rFonts w:ascii="Times New Roman" w:hAnsi="Times New Roman" w:cs="Times New Roman"/>
          <w:sz w:val="24"/>
          <w:szCs w:val="24"/>
        </w:rPr>
        <w:t>”</w:t>
      </w:r>
      <w:r>
        <w:rPr>
          <w:rFonts w:ascii="Times New Roman" w:hAnsi="Times New Roman" w:cs="Times New Roman"/>
          <w:sz w:val="24"/>
          <w:szCs w:val="24"/>
        </w:rPr>
        <w:t xml:space="preserve"> of the elements of the database,</w:t>
      </w:r>
      <w:r w:rsidR="000D4799">
        <w:rPr>
          <w:rFonts w:ascii="Times New Roman" w:hAnsi="Times New Roman" w:cs="Times New Roman"/>
          <w:sz w:val="24"/>
          <w:szCs w:val="24"/>
        </w:rPr>
        <w:t xml:space="preserve"> the CJEU </w:t>
      </w:r>
      <w:r w:rsidR="00472F5B">
        <w:rPr>
          <w:rFonts w:ascii="Times New Roman" w:hAnsi="Times New Roman" w:cs="Times New Roman"/>
          <w:sz w:val="24"/>
          <w:szCs w:val="24"/>
        </w:rPr>
        <w:t xml:space="preserve">has </w:t>
      </w:r>
      <w:r w:rsidR="000D4799">
        <w:rPr>
          <w:rFonts w:ascii="Times New Roman" w:hAnsi="Times New Roman" w:cs="Times New Roman"/>
          <w:sz w:val="24"/>
          <w:szCs w:val="24"/>
        </w:rPr>
        <w:t>provided guidance on</w:t>
      </w:r>
      <w:r>
        <w:rPr>
          <w:rFonts w:ascii="Times New Roman" w:hAnsi="Times New Roman" w:cs="Times New Roman"/>
          <w:sz w:val="24"/>
          <w:szCs w:val="24"/>
        </w:rPr>
        <w:t xml:space="preserve"> </w:t>
      </w:r>
      <w:r w:rsidR="008517D2">
        <w:rPr>
          <w:rFonts w:ascii="Times New Roman" w:hAnsi="Times New Roman" w:cs="Times New Roman"/>
          <w:sz w:val="24"/>
          <w:szCs w:val="24"/>
        </w:rPr>
        <w:t xml:space="preserve">both terms. Indeed, while verifying has been read </w:t>
      </w:r>
      <w:r w:rsidR="008517D2" w:rsidRPr="00C47C7B">
        <w:rPr>
          <w:rFonts w:ascii="Times New Roman" w:hAnsi="Times New Roman" w:cs="Times New Roman"/>
          <w:sz w:val="24"/>
          <w:szCs w:val="24"/>
        </w:rPr>
        <w:t xml:space="preserve">as </w:t>
      </w:r>
      <w:r w:rsidR="00472F5B">
        <w:rPr>
          <w:rFonts w:ascii="Times New Roman" w:hAnsi="Times New Roman" w:cs="Times New Roman"/>
          <w:sz w:val="24"/>
          <w:szCs w:val="24"/>
        </w:rPr>
        <w:t>“</w:t>
      </w:r>
      <w:r w:rsidR="008517D2" w:rsidRPr="00C47C7B">
        <w:rPr>
          <w:rFonts w:ascii="Times New Roman" w:hAnsi="Times New Roman" w:cs="Times New Roman"/>
          <w:i/>
          <w:sz w:val="24"/>
          <w:szCs w:val="24"/>
        </w:rPr>
        <w:t>ensur</w:t>
      </w:r>
      <w:r w:rsidR="00472F5B">
        <w:rPr>
          <w:rFonts w:ascii="Times New Roman" w:hAnsi="Times New Roman" w:cs="Times New Roman"/>
          <w:i/>
          <w:sz w:val="24"/>
          <w:szCs w:val="24"/>
        </w:rPr>
        <w:t xml:space="preserve">ing </w:t>
      </w:r>
      <w:r w:rsidR="00C47C7B" w:rsidRPr="00C47C7B">
        <w:rPr>
          <w:rFonts w:ascii="Times New Roman" w:hAnsi="Times New Roman" w:cs="Times New Roman"/>
          <w:sz w:val="24"/>
          <w:szCs w:val="24"/>
        </w:rPr>
        <w:t>[</w:t>
      </w:r>
      <w:r w:rsidR="005E617D">
        <w:rPr>
          <w:rFonts w:ascii="Times New Roman" w:hAnsi="Times New Roman" w:cs="Times New Roman"/>
          <w:sz w:val="24"/>
          <w:szCs w:val="24"/>
        </w:rPr>
        <w:t>…</w:t>
      </w:r>
      <w:r w:rsidR="00C47C7B" w:rsidRPr="00C47C7B">
        <w:rPr>
          <w:rFonts w:ascii="Times New Roman" w:hAnsi="Times New Roman" w:cs="Times New Roman"/>
          <w:sz w:val="24"/>
          <w:szCs w:val="24"/>
        </w:rPr>
        <w:t>]</w:t>
      </w:r>
      <w:r w:rsidR="00C47C7B" w:rsidRPr="00C47C7B">
        <w:rPr>
          <w:rFonts w:ascii="Times New Roman" w:hAnsi="Times New Roman" w:cs="Times New Roman"/>
          <w:i/>
          <w:sz w:val="24"/>
          <w:szCs w:val="24"/>
        </w:rPr>
        <w:t xml:space="preserve"> </w:t>
      </w:r>
      <w:r w:rsidR="008517D2" w:rsidRPr="00C47C7B">
        <w:rPr>
          <w:rFonts w:ascii="Times New Roman" w:hAnsi="Times New Roman" w:cs="Times New Roman"/>
          <w:i/>
          <w:sz w:val="24"/>
          <w:szCs w:val="24"/>
        </w:rPr>
        <w:t>the reliability of the information contained in that database, to monitor the accuracy of the materials collected when the database was created and during its operation</w:t>
      </w:r>
      <w:r w:rsidR="00472F5B">
        <w:rPr>
          <w:rFonts w:ascii="Times New Roman" w:hAnsi="Times New Roman" w:cs="Times New Roman"/>
          <w:sz w:val="24"/>
          <w:szCs w:val="24"/>
        </w:rPr>
        <w:t>”,</w:t>
      </w:r>
      <w:r w:rsidR="00C47C7B">
        <w:rPr>
          <w:rStyle w:val="FootnoteReference"/>
          <w:rFonts w:ascii="Times New Roman" w:hAnsi="Times New Roman" w:cs="Times New Roman"/>
          <w:sz w:val="24"/>
          <w:szCs w:val="24"/>
        </w:rPr>
        <w:footnoteReference w:id="45"/>
      </w:r>
      <w:r w:rsidR="00C47C7B">
        <w:rPr>
          <w:rFonts w:ascii="Times New Roman" w:hAnsi="Times New Roman" w:cs="Times New Roman"/>
          <w:sz w:val="24"/>
          <w:szCs w:val="24"/>
        </w:rPr>
        <w:t xml:space="preserve"> presenting has been interpreted as </w:t>
      </w:r>
      <w:r w:rsidR="00472F5B">
        <w:rPr>
          <w:rFonts w:ascii="Times New Roman" w:hAnsi="Times New Roman" w:cs="Times New Roman"/>
          <w:sz w:val="24"/>
          <w:szCs w:val="24"/>
        </w:rPr>
        <w:t>“</w:t>
      </w:r>
      <w:r w:rsidR="00A3759B" w:rsidRPr="00A3759B">
        <w:rPr>
          <w:rFonts w:ascii="Times New Roman" w:hAnsi="Times New Roman" w:cs="Times New Roman"/>
          <w:i/>
          <w:sz w:val="24"/>
          <w:szCs w:val="24"/>
        </w:rPr>
        <w:t xml:space="preserve">giving the database its function of processing information, that is to say those used for the systematic or methodical arrangement of the materials contained </w:t>
      </w:r>
      <w:r w:rsidR="00A3759B">
        <w:rPr>
          <w:rFonts w:ascii="Times New Roman" w:hAnsi="Times New Roman" w:cs="Times New Roman"/>
          <w:i/>
          <w:sz w:val="24"/>
          <w:szCs w:val="24"/>
        </w:rPr>
        <w:t>in that database and the organiz</w:t>
      </w:r>
      <w:r w:rsidR="00A3759B" w:rsidRPr="00A3759B">
        <w:rPr>
          <w:rFonts w:ascii="Times New Roman" w:hAnsi="Times New Roman" w:cs="Times New Roman"/>
          <w:i/>
          <w:sz w:val="24"/>
          <w:szCs w:val="24"/>
        </w:rPr>
        <w:t>ation of their individual accessibility</w:t>
      </w:r>
      <w:r w:rsidR="00472F5B">
        <w:rPr>
          <w:rFonts w:ascii="Times New Roman" w:hAnsi="Times New Roman" w:cs="Times New Roman"/>
          <w:sz w:val="24"/>
          <w:szCs w:val="24"/>
        </w:rPr>
        <w:t>”</w:t>
      </w:r>
      <w:r w:rsidR="003819F9">
        <w:rPr>
          <w:rFonts w:ascii="Times New Roman" w:hAnsi="Times New Roman" w:cs="Times New Roman"/>
          <w:sz w:val="24"/>
          <w:szCs w:val="24"/>
        </w:rPr>
        <w:t>.</w:t>
      </w:r>
      <w:r w:rsidR="00A3759B">
        <w:rPr>
          <w:rStyle w:val="FootnoteReference"/>
          <w:rFonts w:ascii="Times New Roman" w:hAnsi="Times New Roman" w:cs="Times New Roman"/>
          <w:sz w:val="24"/>
          <w:szCs w:val="24"/>
        </w:rPr>
        <w:footnoteReference w:id="46"/>
      </w:r>
      <w:r w:rsidR="00A3759B">
        <w:rPr>
          <w:rFonts w:ascii="Times New Roman" w:hAnsi="Times New Roman" w:cs="Times New Roman"/>
          <w:sz w:val="24"/>
          <w:szCs w:val="24"/>
        </w:rPr>
        <w:t xml:space="preserve"> Regarding cases in which the data ha</w:t>
      </w:r>
      <w:r w:rsidR="003819F9">
        <w:rPr>
          <w:rFonts w:ascii="Times New Roman" w:hAnsi="Times New Roman" w:cs="Times New Roman"/>
          <w:sz w:val="24"/>
          <w:szCs w:val="24"/>
        </w:rPr>
        <w:t>s</w:t>
      </w:r>
      <w:r w:rsidR="00A3759B">
        <w:rPr>
          <w:rFonts w:ascii="Times New Roman" w:hAnsi="Times New Roman" w:cs="Times New Roman"/>
          <w:sz w:val="24"/>
          <w:szCs w:val="24"/>
        </w:rPr>
        <w:t xml:space="preserve"> been created, some authors have identif</w:t>
      </w:r>
      <w:r w:rsidR="005E028F">
        <w:rPr>
          <w:rFonts w:ascii="Times New Roman" w:hAnsi="Times New Roman" w:cs="Times New Roman"/>
          <w:sz w:val="24"/>
          <w:szCs w:val="24"/>
        </w:rPr>
        <w:t>ied</w:t>
      </w:r>
      <w:r w:rsidR="00A3759B">
        <w:rPr>
          <w:rFonts w:ascii="Times New Roman" w:hAnsi="Times New Roman" w:cs="Times New Roman"/>
          <w:sz w:val="24"/>
          <w:szCs w:val="24"/>
        </w:rPr>
        <w:t xml:space="preserve"> a certain difficulty in assessing the existence of independent investment in verifying</w:t>
      </w:r>
      <w:r w:rsidR="00472F5B">
        <w:rPr>
          <w:rFonts w:ascii="Times New Roman" w:hAnsi="Times New Roman" w:cs="Times New Roman"/>
          <w:sz w:val="24"/>
          <w:szCs w:val="24"/>
        </w:rPr>
        <w:t xml:space="preserve"> the data, on the one hand, and</w:t>
      </w:r>
      <w:r w:rsidR="00A3759B">
        <w:rPr>
          <w:rFonts w:ascii="Times New Roman" w:hAnsi="Times New Roman" w:cs="Times New Roman"/>
          <w:sz w:val="24"/>
          <w:szCs w:val="24"/>
        </w:rPr>
        <w:t xml:space="preserve"> presenting </w:t>
      </w:r>
      <w:r w:rsidR="00472F5B">
        <w:rPr>
          <w:rFonts w:ascii="Times New Roman" w:hAnsi="Times New Roman" w:cs="Times New Roman"/>
          <w:sz w:val="24"/>
          <w:szCs w:val="24"/>
        </w:rPr>
        <w:t>it, on the other</w:t>
      </w:r>
      <w:r w:rsidR="00A3759B">
        <w:rPr>
          <w:rFonts w:ascii="Times New Roman" w:hAnsi="Times New Roman" w:cs="Times New Roman"/>
          <w:sz w:val="24"/>
          <w:szCs w:val="24"/>
        </w:rPr>
        <w:t>.</w:t>
      </w:r>
      <w:r w:rsidR="00A3759B">
        <w:rPr>
          <w:rStyle w:val="FootnoteReference"/>
          <w:rFonts w:ascii="Times New Roman" w:hAnsi="Times New Roman" w:cs="Times New Roman"/>
          <w:sz w:val="24"/>
          <w:szCs w:val="24"/>
        </w:rPr>
        <w:footnoteReference w:id="47"/>
      </w:r>
      <w:r w:rsidR="00A3759B">
        <w:rPr>
          <w:rFonts w:ascii="Times New Roman" w:hAnsi="Times New Roman" w:cs="Times New Roman"/>
          <w:sz w:val="24"/>
          <w:szCs w:val="24"/>
        </w:rPr>
        <w:t xml:space="preserve"> </w:t>
      </w:r>
    </w:p>
    <w:p w14:paraId="43CECFCC" w14:textId="14C44A6D" w:rsidR="00994416" w:rsidRPr="007B58C8" w:rsidRDefault="0033593C" w:rsidP="00065C4D">
      <w:pPr>
        <w:spacing w:after="0" w:line="240" w:lineRule="auto"/>
        <w:ind w:left="66"/>
        <w:jc w:val="both"/>
        <w:rPr>
          <w:rFonts w:ascii="Times New Roman" w:hAnsi="Times New Roman" w:cs="Times New Roman"/>
          <w:sz w:val="24"/>
          <w:szCs w:val="24"/>
        </w:rPr>
      </w:pPr>
      <w:r w:rsidRPr="007B58C8">
        <w:rPr>
          <w:rFonts w:ascii="Times New Roman" w:hAnsi="Times New Roman" w:cs="Times New Roman"/>
          <w:sz w:val="24"/>
          <w:szCs w:val="24"/>
        </w:rPr>
        <w:t xml:space="preserve"> </w:t>
      </w:r>
    </w:p>
    <w:p w14:paraId="00AF76EF" w14:textId="4D422E8E" w:rsidR="00860F04" w:rsidRPr="00571899" w:rsidRDefault="0033593C" w:rsidP="00571899">
      <w:pPr>
        <w:pStyle w:val="ListParagraph"/>
        <w:numPr>
          <w:ilvl w:val="0"/>
          <w:numId w:val="2"/>
        </w:numPr>
        <w:spacing w:after="0" w:line="240" w:lineRule="auto"/>
        <w:jc w:val="both"/>
        <w:rPr>
          <w:rFonts w:ascii="Times New Roman" w:hAnsi="Times New Roman" w:cs="Times New Roman"/>
          <w:b/>
          <w:sz w:val="24"/>
          <w:szCs w:val="24"/>
        </w:rPr>
      </w:pPr>
      <w:r w:rsidRPr="00571899">
        <w:rPr>
          <w:rFonts w:ascii="Times New Roman" w:hAnsi="Times New Roman" w:cs="Times New Roman"/>
          <w:b/>
          <w:sz w:val="24"/>
          <w:szCs w:val="24"/>
        </w:rPr>
        <w:t xml:space="preserve">The </w:t>
      </w:r>
      <w:r w:rsidR="005E028F">
        <w:rPr>
          <w:rFonts w:ascii="Times New Roman" w:hAnsi="Times New Roman" w:cs="Times New Roman"/>
          <w:b/>
          <w:sz w:val="24"/>
          <w:szCs w:val="24"/>
        </w:rPr>
        <w:t xml:space="preserve">(not-so) </w:t>
      </w:r>
      <w:r w:rsidRPr="00571899">
        <w:rPr>
          <w:rFonts w:ascii="Times New Roman" w:hAnsi="Times New Roman" w:cs="Times New Roman"/>
          <w:b/>
          <w:sz w:val="24"/>
          <w:szCs w:val="24"/>
        </w:rPr>
        <w:t>substantial investment threshold</w:t>
      </w:r>
    </w:p>
    <w:p w14:paraId="34D00F8E" w14:textId="77777777" w:rsidR="00065C4D" w:rsidRDefault="00065C4D" w:rsidP="00065C4D">
      <w:pPr>
        <w:spacing w:after="0" w:line="240" w:lineRule="auto"/>
        <w:ind w:left="66"/>
        <w:jc w:val="both"/>
        <w:rPr>
          <w:rFonts w:ascii="Times New Roman" w:hAnsi="Times New Roman" w:cs="Times New Roman"/>
          <w:b/>
          <w:sz w:val="24"/>
          <w:szCs w:val="24"/>
        </w:rPr>
      </w:pPr>
    </w:p>
    <w:p w14:paraId="62ABE9DF" w14:textId="7C2F4660" w:rsidR="00065C4D" w:rsidRDefault="00E47C9F" w:rsidP="00065C4D">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Under </w:t>
      </w:r>
      <w:r w:rsidR="005E028F">
        <w:rPr>
          <w:rFonts w:ascii="Times New Roman" w:hAnsi="Times New Roman" w:cs="Times New Roman"/>
          <w:sz w:val="24"/>
          <w:szCs w:val="24"/>
        </w:rPr>
        <w:t>A</w:t>
      </w:r>
      <w:r>
        <w:rPr>
          <w:rFonts w:ascii="Times New Roman" w:hAnsi="Times New Roman" w:cs="Times New Roman"/>
          <w:sz w:val="24"/>
          <w:szCs w:val="24"/>
        </w:rPr>
        <w:t xml:space="preserve">rticle 7, </w:t>
      </w:r>
      <w:r w:rsidR="00B24938">
        <w:rPr>
          <w:rFonts w:ascii="Times New Roman" w:hAnsi="Times New Roman" w:cs="Times New Roman"/>
          <w:sz w:val="24"/>
          <w:szCs w:val="24"/>
        </w:rPr>
        <w:t xml:space="preserve">for the </w:t>
      </w:r>
      <w:r w:rsidR="005E028F">
        <w:rPr>
          <w:rFonts w:ascii="Times New Roman" w:hAnsi="Times New Roman" w:cs="Times New Roman"/>
          <w:sz w:val="24"/>
          <w:szCs w:val="24"/>
        </w:rPr>
        <w:t xml:space="preserve">sui generis right to </w:t>
      </w:r>
      <w:r w:rsidR="00B24938">
        <w:rPr>
          <w:rFonts w:ascii="Times New Roman" w:hAnsi="Times New Roman" w:cs="Times New Roman"/>
          <w:sz w:val="24"/>
          <w:szCs w:val="24"/>
        </w:rPr>
        <w:t>apply</w:t>
      </w:r>
      <w:r w:rsidR="005E028F">
        <w:rPr>
          <w:rFonts w:ascii="Times New Roman" w:hAnsi="Times New Roman" w:cs="Times New Roman"/>
          <w:sz w:val="24"/>
          <w:szCs w:val="24"/>
        </w:rPr>
        <w:t>,</w:t>
      </w:r>
      <w:r w:rsidR="00D26AAB">
        <w:rPr>
          <w:rFonts w:ascii="Times New Roman" w:hAnsi="Times New Roman" w:cs="Times New Roman"/>
          <w:sz w:val="24"/>
          <w:szCs w:val="24"/>
        </w:rPr>
        <w:t xml:space="preserve"> investment in obtaining, verifying or presenting the database</w:t>
      </w:r>
      <w:r w:rsidR="005E028F">
        <w:rPr>
          <w:rFonts w:ascii="Times New Roman" w:hAnsi="Times New Roman" w:cs="Times New Roman"/>
          <w:sz w:val="24"/>
          <w:szCs w:val="24"/>
        </w:rPr>
        <w:t>’s elements</w:t>
      </w:r>
      <w:r>
        <w:rPr>
          <w:rFonts w:ascii="Times New Roman" w:hAnsi="Times New Roman" w:cs="Times New Roman"/>
          <w:sz w:val="24"/>
          <w:szCs w:val="24"/>
        </w:rPr>
        <w:t xml:space="preserv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w:t>
      </w:r>
      <w:r w:rsidR="00D26AAB">
        <w:rPr>
          <w:rFonts w:ascii="Times New Roman" w:hAnsi="Times New Roman" w:cs="Times New Roman"/>
          <w:sz w:val="24"/>
          <w:szCs w:val="24"/>
        </w:rPr>
        <w:t xml:space="preserve"> qualitativel</w:t>
      </w:r>
      <w:r w:rsidR="003863B8">
        <w:rPr>
          <w:rFonts w:ascii="Times New Roman" w:hAnsi="Times New Roman" w:cs="Times New Roman"/>
          <w:sz w:val="24"/>
          <w:szCs w:val="24"/>
        </w:rPr>
        <w:t>y or quantitatively substantial.</w:t>
      </w:r>
    </w:p>
    <w:p w14:paraId="27A9DABB" w14:textId="77777777" w:rsidR="00B24938" w:rsidRDefault="00B24938" w:rsidP="00065C4D">
      <w:pPr>
        <w:spacing w:after="0" w:line="240" w:lineRule="auto"/>
        <w:ind w:left="66"/>
        <w:jc w:val="both"/>
        <w:rPr>
          <w:rFonts w:ascii="Times New Roman" w:hAnsi="Times New Roman" w:cs="Times New Roman"/>
          <w:sz w:val="24"/>
          <w:szCs w:val="24"/>
        </w:rPr>
      </w:pPr>
    </w:p>
    <w:p w14:paraId="3E209A10" w14:textId="7A1399DF" w:rsidR="003863B8" w:rsidRDefault="00B24938" w:rsidP="00065C4D">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E</w:t>
      </w:r>
      <w:r w:rsidR="003863B8">
        <w:rPr>
          <w:rFonts w:ascii="Times New Roman" w:hAnsi="Times New Roman" w:cs="Times New Roman"/>
          <w:sz w:val="24"/>
          <w:szCs w:val="24"/>
        </w:rPr>
        <w:t>xamining the recitals related to this requirement</w:t>
      </w:r>
      <w:r>
        <w:rPr>
          <w:rFonts w:ascii="Times New Roman" w:hAnsi="Times New Roman" w:cs="Times New Roman"/>
          <w:sz w:val="24"/>
          <w:szCs w:val="24"/>
        </w:rPr>
        <w:t>,</w:t>
      </w:r>
      <w:r w:rsidR="003863B8">
        <w:rPr>
          <w:rStyle w:val="FootnoteReference"/>
          <w:rFonts w:ascii="Times New Roman" w:hAnsi="Times New Roman" w:cs="Times New Roman"/>
          <w:sz w:val="24"/>
          <w:szCs w:val="24"/>
        </w:rPr>
        <w:footnoteReference w:id="48"/>
      </w:r>
      <w:r w:rsidR="003863B8">
        <w:rPr>
          <w:rFonts w:ascii="Times New Roman" w:hAnsi="Times New Roman" w:cs="Times New Roman"/>
          <w:sz w:val="24"/>
          <w:szCs w:val="24"/>
        </w:rPr>
        <w:t xml:space="preserve"> it </w:t>
      </w:r>
      <w:r>
        <w:rPr>
          <w:rFonts w:ascii="Times New Roman" w:hAnsi="Times New Roman" w:cs="Times New Roman"/>
          <w:sz w:val="24"/>
          <w:szCs w:val="24"/>
        </w:rPr>
        <w:t xml:space="preserve">should first be </w:t>
      </w:r>
      <w:r w:rsidR="00EF2818">
        <w:rPr>
          <w:rFonts w:ascii="Times New Roman" w:hAnsi="Times New Roman" w:cs="Times New Roman"/>
          <w:sz w:val="24"/>
          <w:szCs w:val="24"/>
        </w:rPr>
        <w:t>point</w:t>
      </w:r>
      <w:r>
        <w:rPr>
          <w:rFonts w:ascii="Times New Roman" w:hAnsi="Times New Roman" w:cs="Times New Roman"/>
          <w:sz w:val="24"/>
          <w:szCs w:val="24"/>
        </w:rPr>
        <w:t>ed</w:t>
      </w:r>
      <w:r w:rsidR="00EF2818">
        <w:rPr>
          <w:rFonts w:ascii="Times New Roman" w:hAnsi="Times New Roman" w:cs="Times New Roman"/>
          <w:sz w:val="24"/>
          <w:szCs w:val="24"/>
        </w:rPr>
        <w:t xml:space="preserve"> out that the investment can be financial</w:t>
      </w:r>
      <w:r w:rsidR="00890F5A">
        <w:rPr>
          <w:rFonts w:ascii="Times New Roman" w:hAnsi="Times New Roman" w:cs="Times New Roman"/>
          <w:sz w:val="24"/>
          <w:szCs w:val="24"/>
        </w:rPr>
        <w:t>, technical</w:t>
      </w:r>
      <w:r w:rsidR="00EF2818">
        <w:rPr>
          <w:rFonts w:ascii="Times New Roman" w:hAnsi="Times New Roman" w:cs="Times New Roman"/>
          <w:sz w:val="24"/>
          <w:szCs w:val="24"/>
        </w:rPr>
        <w:t xml:space="preserve"> and</w:t>
      </w:r>
      <w:r>
        <w:rPr>
          <w:rFonts w:ascii="Times New Roman" w:hAnsi="Times New Roman" w:cs="Times New Roman"/>
          <w:sz w:val="24"/>
          <w:szCs w:val="24"/>
        </w:rPr>
        <w:t>/or</w:t>
      </w:r>
      <w:r w:rsidR="00EF2818">
        <w:rPr>
          <w:rFonts w:ascii="Times New Roman" w:hAnsi="Times New Roman" w:cs="Times New Roman"/>
          <w:sz w:val="24"/>
          <w:szCs w:val="24"/>
        </w:rPr>
        <w:t xml:space="preserve"> “human”</w:t>
      </w:r>
      <w:r w:rsidR="003819F9">
        <w:rPr>
          <w:rFonts w:ascii="Times New Roman" w:hAnsi="Times New Roman" w:cs="Times New Roman"/>
          <w:sz w:val="24"/>
          <w:szCs w:val="24"/>
        </w:rPr>
        <w:t>.</w:t>
      </w:r>
      <w:r w:rsidR="00EF2818">
        <w:rPr>
          <w:rStyle w:val="FootnoteReference"/>
          <w:rFonts w:ascii="Times New Roman" w:hAnsi="Times New Roman" w:cs="Times New Roman"/>
          <w:sz w:val="24"/>
          <w:szCs w:val="24"/>
        </w:rPr>
        <w:footnoteReference w:id="49"/>
      </w:r>
    </w:p>
    <w:p w14:paraId="350B0CC1" w14:textId="77777777" w:rsidR="00B24938" w:rsidRDefault="00B24938" w:rsidP="00065C4D">
      <w:pPr>
        <w:spacing w:after="0" w:line="240" w:lineRule="auto"/>
        <w:ind w:left="66"/>
        <w:jc w:val="both"/>
        <w:rPr>
          <w:rFonts w:ascii="Times New Roman" w:hAnsi="Times New Roman" w:cs="Times New Roman"/>
          <w:sz w:val="24"/>
          <w:szCs w:val="24"/>
        </w:rPr>
      </w:pPr>
    </w:p>
    <w:p w14:paraId="06C83C65" w14:textId="22A452BA" w:rsidR="00DD2738" w:rsidRDefault="00DD2738" w:rsidP="00065C4D">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Second</w:t>
      </w:r>
      <w:r w:rsidR="00B24938">
        <w:rPr>
          <w:rFonts w:ascii="Times New Roman" w:hAnsi="Times New Roman" w:cs="Times New Roman"/>
          <w:sz w:val="24"/>
          <w:szCs w:val="24"/>
        </w:rPr>
        <w:t>ly</w:t>
      </w:r>
      <w:r>
        <w:rPr>
          <w:rFonts w:ascii="Times New Roman" w:hAnsi="Times New Roman" w:cs="Times New Roman"/>
          <w:sz w:val="24"/>
          <w:szCs w:val="24"/>
        </w:rPr>
        <w:t xml:space="preserve">, regarding the threshold </w:t>
      </w:r>
      <w:r w:rsidR="00382458">
        <w:rPr>
          <w:rFonts w:ascii="Times New Roman" w:hAnsi="Times New Roman" w:cs="Times New Roman"/>
          <w:sz w:val="24"/>
          <w:szCs w:val="24"/>
        </w:rPr>
        <w:t xml:space="preserve">above which </w:t>
      </w:r>
      <w:r w:rsidR="00B24938">
        <w:rPr>
          <w:rFonts w:ascii="Times New Roman" w:hAnsi="Times New Roman" w:cs="Times New Roman"/>
          <w:sz w:val="24"/>
          <w:szCs w:val="24"/>
        </w:rPr>
        <w:t>an</w:t>
      </w:r>
      <w:r w:rsidR="00382458">
        <w:rPr>
          <w:rFonts w:ascii="Times New Roman" w:hAnsi="Times New Roman" w:cs="Times New Roman"/>
          <w:sz w:val="24"/>
          <w:szCs w:val="24"/>
        </w:rPr>
        <w:t xml:space="preserve"> investment </w:t>
      </w:r>
      <w:r w:rsidR="003819F9">
        <w:rPr>
          <w:rFonts w:ascii="Times New Roman" w:hAnsi="Times New Roman" w:cs="Times New Roman"/>
          <w:sz w:val="24"/>
          <w:szCs w:val="24"/>
        </w:rPr>
        <w:t xml:space="preserve">may </w:t>
      </w:r>
      <w:r w:rsidR="005E028F">
        <w:rPr>
          <w:rFonts w:ascii="Times New Roman" w:hAnsi="Times New Roman" w:cs="Times New Roman"/>
          <w:sz w:val="24"/>
          <w:szCs w:val="24"/>
        </w:rPr>
        <w:t xml:space="preserve">be </w:t>
      </w:r>
      <w:r w:rsidR="00382458">
        <w:rPr>
          <w:rFonts w:ascii="Times New Roman" w:hAnsi="Times New Roman" w:cs="Times New Roman"/>
          <w:sz w:val="24"/>
          <w:szCs w:val="24"/>
        </w:rPr>
        <w:t>deemed substantial,</w:t>
      </w:r>
      <w:r w:rsidR="006D2D83">
        <w:rPr>
          <w:rFonts w:ascii="Times New Roman" w:hAnsi="Times New Roman" w:cs="Times New Roman"/>
          <w:sz w:val="24"/>
          <w:szCs w:val="24"/>
        </w:rPr>
        <w:t xml:space="preserve"> ma</w:t>
      </w:r>
      <w:r w:rsidR="00962D05">
        <w:rPr>
          <w:rFonts w:ascii="Times New Roman" w:hAnsi="Times New Roman" w:cs="Times New Roman"/>
          <w:sz w:val="24"/>
          <w:szCs w:val="24"/>
        </w:rPr>
        <w:t xml:space="preserve">jority opinion </w:t>
      </w:r>
      <w:r w:rsidR="006D2D83">
        <w:rPr>
          <w:rFonts w:ascii="Times New Roman" w:hAnsi="Times New Roman" w:cs="Times New Roman"/>
          <w:sz w:val="24"/>
          <w:szCs w:val="24"/>
        </w:rPr>
        <w:t>tend</w:t>
      </w:r>
      <w:r w:rsidR="00962D05">
        <w:rPr>
          <w:rFonts w:ascii="Times New Roman" w:hAnsi="Times New Roman" w:cs="Times New Roman"/>
          <w:sz w:val="24"/>
          <w:szCs w:val="24"/>
        </w:rPr>
        <w:t>s</w:t>
      </w:r>
      <w:r w:rsidR="006D2D83">
        <w:rPr>
          <w:rFonts w:ascii="Times New Roman" w:hAnsi="Times New Roman" w:cs="Times New Roman"/>
          <w:sz w:val="24"/>
          <w:szCs w:val="24"/>
        </w:rPr>
        <w:t xml:space="preserve"> to set a low bar. Indeed, </w:t>
      </w:r>
      <w:r w:rsidR="00CA16E8">
        <w:rPr>
          <w:rFonts w:ascii="Times New Roman" w:hAnsi="Times New Roman" w:cs="Times New Roman"/>
          <w:sz w:val="24"/>
          <w:szCs w:val="24"/>
        </w:rPr>
        <w:t>domestic courts have</w:t>
      </w:r>
      <w:r w:rsidR="004F7AA7">
        <w:rPr>
          <w:rFonts w:ascii="Times New Roman" w:hAnsi="Times New Roman" w:cs="Times New Roman"/>
          <w:sz w:val="24"/>
          <w:szCs w:val="24"/>
        </w:rPr>
        <w:t xml:space="preserve"> </w:t>
      </w:r>
      <w:r w:rsidR="00B45F7E">
        <w:rPr>
          <w:rFonts w:ascii="Times New Roman" w:hAnsi="Times New Roman" w:cs="Times New Roman"/>
          <w:sz w:val="24"/>
          <w:szCs w:val="24"/>
        </w:rPr>
        <w:t>on</w:t>
      </w:r>
      <w:r w:rsidR="004F7AA7">
        <w:rPr>
          <w:rFonts w:ascii="Times New Roman" w:hAnsi="Times New Roman" w:cs="Times New Roman"/>
          <w:sz w:val="24"/>
          <w:szCs w:val="24"/>
        </w:rPr>
        <w:t xml:space="preserve"> several occasions </w:t>
      </w:r>
      <w:r w:rsidR="00B45F7E">
        <w:rPr>
          <w:rFonts w:ascii="Times New Roman" w:hAnsi="Times New Roman" w:cs="Times New Roman"/>
          <w:sz w:val="24"/>
          <w:szCs w:val="24"/>
        </w:rPr>
        <w:t>defined as “</w:t>
      </w:r>
      <w:r w:rsidR="00CA16E8">
        <w:rPr>
          <w:rFonts w:ascii="Times New Roman" w:hAnsi="Times New Roman" w:cs="Times New Roman"/>
          <w:sz w:val="24"/>
          <w:szCs w:val="24"/>
        </w:rPr>
        <w:t>substantial</w:t>
      </w:r>
      <w:r w:rsidR="00B45F7E">
        <w:rPr>
          <w:rFonts w:ascii="Times New Roman" w:hAnsi="Times New Roman" w:cs="Times New Roman"/>
          <w:sz w:val="24"/>
          <w:szCs w:val="24"/>
        </w:rPr>
        <w:t>”</w:t>
      </w:r>
      <w:r w:rsidR="00CA16E8">
        <w:rPr>
          <w:rFonts w:ascii="Times New Roman" w:hAnsi="Times New Roman" w:cs="Times New Roman"/>
          <w:sz w:val="24"/>
          <w:szCs w:val="24"/>
        </w:rPr>
        <w:t xml:space="preserve"> investment in databases that </w:t>
      </w:r>
      <w:r w:rsidR="00B45F7E">
        <w:rPr>
          <w:rFonts w:ascii="Times New Roman" w:hAnsi="Times New Roman" w:cs="Times New Roman"/>
          <w:sz w:val="24"/>
          <w:szCs w:val="24"/>
        </w:rPr>
        <w:t xml:space="preserve">required </w:t>
      </w:r>
      <w:r w:rsidR="00E47C9F">
        <w:rPr>
          <w:rFonts w:ascii="Times New Roman" w:hAnsi="Times New Roman" w:cs="Times New Roman"/>
          <w:sz w:val="24"/>
          <w:szCs w:val="24"/>
        </w:rPr>
        <w:t>just</w:t>
      </w:r>
      <w:r w:rsidR="00CA16E8">
        <w:rPr>
          <w:rFonts w:ascii="Times New Roman" w:hAnsi="Times New Roman" w:cs="Times New Roman"/>
          <w:sz w:val="24"/>
          <w:szCs w:val="24"/>
        </w:rPr>
        <w:t xml:space="preserve"> </w:t>
      </w:r>
      <w:r w:rsidR="00B45F7E">
        <w:rPr>
          <w:rFonts w:ascii="Times New Roman" w:hAnsi="Times New Roman" w:cs="Times New Roman"/>
          <w:sz w:val="24"/>
          <w:szCs w:val="24"/>
        </w:rPr>
        <w:t xml:space="preserve">a </w:t>
      </w:r>
      <w:r w:rsidR="00CA16E8">
        <w:rPr>
          <w:rFonts w:ascii="Times New Roman" w:hAnsi="Times New Roman" w:cs="Times New Roman"/>
          <w:sz w:val="24"/>
          <w:szCs w:val="24"/>
        </w:rPr>
        <w:t>few hours of work</w:t>
      </w:r>
      <w:r w:rsidR="00CA16E8">
        <w:rPr>
          <w:rStyle w:val="FootnoteReference"/>
          <w:rFonts w:ascii="Times New Roman" w:hAnsi="Times New Roman" w:cs="Times New Roman"/>
          <w:sz w:val="24"/>
          <w:szCs w:val="24"/>
        </w:rPr>
        <w:footnoteReference w:id="50"/>
      </w:r>
      <w:r w:rsidR="004F7AA7">
        <w:rPr>
          <w:rFonts w:ascii="Times New Roman" w:hAnsi="Times New Roman" w:cs="Times New Roman"/>
          <w:sz w:val="24"/>
          <w:szCs w:val="24"/>
        </w:rPr>
        <w:t xml:space="preserve"> or that were made by simpl</w:t>
      </w:r>
      <w:r w:rsidR="00B45F7E">
        <w:rPr>
          <w:rFonts w:ascii="Times New Roman" w:hAnsi="Times New Roman" w:cs="Times New Roman"/>
          <w:sz w:val="24"/>
          <w:szCs w:val="24"/>
        </w:rPr>
        <w:t>y</w:t>
      </w:r>
      <w:r w:rsidR="004F7AA7">
        <w:rPr>
          <w:rFonts w:ascii="Times New Roman" w:hAnsi="Times New Roman" w:cs="Times New Roman"/>
          <w:sz w:val="24"/>
          <w:szCs w:val="24"/>
        </w:rPr>
        <w:t xml:space="preserve"> list</w:t>
      </w:r>
      <w:r w:rsidR="00B45F7E">
        <w:rPr>
          <w:rFonts w:ascii="Times New Roman" w:hAnsi="Times New Roman" w:cs="Times New Roman"/>
          <w:sz w:val="24"/>
          <w:szCs w:val="24"/>
        </w:rPr>
        <w:t xml:space="preserve">ing </w:t>
      </w:r>
      <w:r w:rsidR="004F7AA7">
        <w:rPr>
          <w:rFonts w:ascii="Times New Roman" w:hAnsi="Times New Roman" w:cs="Times New Roman"/>
          <w:sz w:val="24"/>
          <w:szCs w:val="24"/>
        </w:rPr>
        <w:t>1</w:t>
      </w:r>
      <w:r w:rsidR="00B45F7E">
        <w:rPr>
          <w:rFonts w:ascii="Times New Roman" w:hAnsi="Times New Roman" w:cs="Times New Roman"/>
          <w:sz w:val="24"/>
          <w:szCs w:val="24"/>
        </w:rPr>
        <w:t>,</w:t>
      </w:r>
      <w:r w:rsidR="004F7AA7">
        <w:rPr>
          <w:rFonts w:ascii="Times New Roman" w:hAnsi="Times New Roman" w:cs="Times New Roman"/>
          <w:sz w:val="24"/>
          <w:szCs w:val="24"/>
        </w:rPr>
        <w:t>650 email addresses</w:t>
      </w:r>
      <w:r w:rsidR="003819F9">
        <w:rPr>
          <w:rFonts w:ascii="Times New Roman" w:hAnsi="Times New Roman" w:cs="Times New Roman"/>
          <w:sz w:val="24"/>
          <w:szCs w:val="24"/>
        </w:rPr>
        <w:t>.</w:t>
      </w:r>
      <w:r w:rsidR="004F7AA7">
        <w:rPr>
          <w:rStyle w:val="FootnoteReference"/>
          <w:rFonts w:ascii="Times New Roman" w:hAnsi="Times New Roman" w:cs="Times New Roman"/>
          <w:sz w:val="24"/>
          <w:szCs w:val="24"/>
        </w:rPr>
        <w:footnoteReference w:id="51"/>
      </w:r>
      <w:r w:rsidR="00382458">
        <w:rPr>
          <w:rFonts w:ascii="Times New Roman" w:hAnsi="Times New Roman" w:cs="Times New Roman"/>
          <w:sz w:val="24"/>
          <w:szCs w:val="24"/>
        </w:rPr>
        <w:t xml:space="preserve"> </w:t>
      </w:r>
      <w:r w:rsidR="00B45F7E">
        <w:rPr>
          <w:rFonts w:ascii="Times New Roman" w:hAnsi="Times New Roman" w:cs="Times New Roman"/>
          <w:sz w:val="24"/>
          <w:szCs w:val="24"/>
        </w:rPr>
        <w:t>Indeed, e</w:t>
      </w:r>
      <w:r w:rsidR="008910C6">
        <w:rPr>
          <w:rFonts w:ascii="Times New Roman" w:hAnsi="Times New Roman" w:cs="Times New Roman"/>
          <w:sz w:val="24"/>
          <w:szCs w:val="24"/>
        </w:rPr>
        <w:t xml:space="preserve">ven </w:t>
      </w:r>
      <w:r w:rsidR="00B45F7E">
        <w:rPr>
          <w:rFonts w:ascii="Times New Roman" w:hAnsi="Times New Roman" w:cs="Times New Roman"/>
          <w:sz w:val="24"/>
          <w:szCs w:val="24"/>
        </w:rPr>
        <w:t xml:space="preserve">though </w:t>
      </w:r>
      <w:r w:rsidR="008910C6">
        <w:rPr>
          <w:rFonts w:ascii="Times New Roman" w:hAnsi="Times New Roman" w:cs="Times New Roman"/>
          <w:sz w:val="24"/>
          <w:szCs w:val="24"/>
        </w:rPr>
        <w:t>there are some divergent positions</w:t>
      </w:r>
      <w:r w:rsidR="00B45F7E">
        <w:rPr>
          <w:rFonts w:ascii="Times New Roman" w:hAnsi="Times New Roman" w:cs="Times New Roman"/>
          <w:sz w:val="24"/>
          <w:szCs w:val="24"/>
        </w:rPr>
        <w:t>,</w:t>
      </w:r>
      <w:r w:rsidR="008910C6">
        <w:rPr>
          <w:rStyle w:val="FootnoteReference"/>
          <w:rFonts w:ascii="Times New Roman" w:hAnsi="Times New Roman" w:cs="Times New Roman"/>
          <w:sz w:val="24"/>
          <w:szCs w:val="24"/>
        </w:rPr>
        <w:footnoteReference w:id="52"/>
      </w:r>
      <w:r w:rsidR="009060E3">
        <w:rPr>
          <w:rFonts w:ascii="Times New Roman" w:hAnsi="Times New Roman" w:cs="Times New Roman"/>
          <w:sz w:val="24"/>
          <w:szCs w:val="24"/>
        </w:rPr>
        <w:t xml:space="preserve"> setting a low threshold </w:t>
      </w:r>
      <w:r w:rsidR="00B45F7E">
        <w:rPr>
          <w:rFonts w:ascii="Times New Roman" w:hAnsi="Times New Roman" w:cs="Times New Roman"/>
          <w:sz w:val="24"/>
          <w:szCs w:val="24"/>
        </w:rPr>
        <w:t xml:space="preserve">would </w:t>
      </w:r>
      <w:r w:rsidR="003C1B9C">
        <w:rPr>
          <w:rFonts w:ascii="Times New Roman" w:hAnsi="Times New Roman" w:cs="Times New Roman"/>
          <w:sz w:val="24"/>
          <w:szCs w:val="24"/>
        </w:rPr>
        <w:t xml:space="preserve">seem to be more aligned </w:t>
      </w:r>
      <w:r w:rsidR="00B45F7E">
        <w:rPr>
          <w:rFonts w:ascii="Times New Roman" w:hAnsi="Times New Roman" w:cs="Times New Roman"/>
          <w:sz w:val="24"/>
          <w:szCs w:val="24"/>
        </w:rPr>
        <w:t xml:space="preserve">with </w:t>
      </w:r>
      <w:r w:rsidR="003C1B9C">
        <w:rPr>
          <w:rFonts w:ascii="Times New Roman" w:hAnsi="Times New Roman" w:cs="Times New Roman"/>
          <w:sz w:val="24"/>
          <w:szCs w:val="24"/>
        </w:rPr>
        <w:t>the aims of the Directive</w:t>
      </w:r>
      <w:r w:rsidR="00B45F7E">
        <w:rPr>
          <w:rFonts w:ascii="Times New Roman" w:hAnsi="Times New Roman" w:cs="Times New Roman"/>
          <w:sz w:val="24"/>
          <w:szCs w:val="24"/>
        </w:rPr>
        <w:t xml:space="preserve">, as </w:t>
      </w:r>
      <w:r w:rsidR="00E47C9F">
        <w:rPr>
          <w:rFonts w:ascii="Times New Roman" w:hAnsi="Times New Roman" w:cs="Times New Roman"/>
          <w:sz w:val="24"/>
          <w:szCs w:val="24"/>
        </w:rPr>
        <w:t>applying</w:t>
      </w:r>
      <w:r w:rsidR="007300C8">
        <w:rPr>
          <w:rFonts w:ascii="Times New Roman" w:hAnsi="Times New Roman" w:cs="Times New Roman"/>
          <w:sz w:val="24"/>
          <w:szCs w:val="24"/>
        </w:rPr>
        <w:t xml:space="preserve"> a high threshold wo</w:t>
      </w:r>
      <w:r w:rsidR="00E47C9F">
        <w:rPr>
          <w:rFonts w:ascii="Times New Roman" w:hAnsi="Times New Roman" w:cs="Times New Roman"/>
          <w:sz w:val="24"/>
          <w:szCs w:val="24"/>
        </w:rPr>
        <w:t xml:space="preserve">uld result in protecting </w:t>
      </w:r>
      <w:r w:rsidR="007300C8">
        <w:rPr>
          <w:rFonts w:ascii="Times New Roman" w:hAnsi="Times New Roman" w:cs="Times New Roman"/>
          <w:sz w:val="24"/>
          <w:szCs w:val="24"/>
        </w:rPr>
        <w:t>bigger databases rather than smaller ones</w:t>
      </w:r>
      <w:r w:rsidR="00B45F7E">
        <w:rPr>
          <w:rFonts w:ascii="Times New Roman" w:hAnsi="Times New Roman" w:cs="Times New Roman"/>
          <w:sz w:val="24"/>
          <w:szCs w:val="24"/>
        </w:rPr>
        <w:t>.</w:t>
      </w:r>
      <w:r w:rsidR="007300C8">
        <w:rPr>
          <w:rStyle w:val="FootnoteReference"/>
          <w:rFonts w:ascii="Times New Roman" w:hAnsi="Times New Roman" w:cs="Times New Roman"/>
          <w:sz w:val="24"/>
          <w:szCs w:val="24"/>
        </w:rPr>
        <w:footnoteReference w:id="53"/>
      </w:r>
      <w:r w:rsidR="007300C8">
        <w:rPr>
          <w:rFonts w:ascii="Times New Roman" w:hAnsi="Times New Roman" w:cs="Times New Roman"/>
          <w:sz w:val="24"/>
          <w:szCs w:val="24"/>
        </w:rPr>
        <w:t xml:space="preserve"> G</w:t>
      </w:r>
      <w:r w:rsidR="003C1B9C">
        <w:rPr>
          <w:rFonts w:ascii="Times New Roman" w:hAnsi="Times New Roman" w:cs="Times New Roman"/>
          <w:sz w:val="24"/>
          <w:szCs w:val="24"/>
        </w:rPr>
        <w:t xml:space="preserve">iven that the objective of the European legislator </w:t>
      </w:r>
      <w:r w:rsidR="005E028F">
        <w:rPr>
          <w:rFonts w:ascii="Times New Roman" w:hAnsi="Times New Roman" w:cs="Times New Roman"/>
          <w:sz w:val="24"/>
          <w:szCs w:val="24"/>
        </w:rPr>
        <w:t>is</w:t>
      </w:r>
      <w:r w:rsidR="003C1B9C">
        <w:rPr>
          <w:rFonts w:ascii="Times New Roman" w:hAnsi="Times New Roman" w:cs="Times New Roman"/>
          <w:sz w:val="24"/>
          <w:szCs w:val="24"/>
        </w:rPr>
        <w:t xml:space="preserve"> to pro</w:t>
      </w:r>
      <w:r w:rsidR="00BA4B36">
        <w:rPr>
          <w:rFonts w:ascii="Times New Roman" w:hAnsi="Times New Roman" w:cs="Times New Roman"/>
          <w:sz w:val="24"/>
          <w:szCs w:val="24"/>
        </w:rPr>
        <w:t xml:space="preserve">mote the market </w:t>
      </w:r>
      <w:r w:rsidR="00B45F7E">
        <w:rPr>
          <w:rFonts w:ascii="Times New Roman" w:hAnsi="Times New Roman" w:cs="Times New Roman"/>
          <w:sz w:val="24"/>
          <w:szCs w:val="24"/>
        </w:rPr>
        <w:t>in</w:t>
      </w:r>
      <w:r w:rsidR="00BA4B36">
        <w:rPr>
          <w:rFonts w:ascii="Times New Roman" w:hAnsi="Times New Roman" w:cs="Times New Roman"/>
          <w:sz w:val="24"/>
          <w:szCs w:val="24"/>
        </w:rPr>
        <w:t xml:space="preserve"> information, t</w:t>
      </w:r>
      <w:r w:rsidR="005157AA">
        <w:rPr>
          <w:rFonts w:ascii="Times New Roman" w:hAnsi="Times New Roman" w:cs="Times New Roman"/>
          <w:sz w:val="24"/>
          <w:szCs w:val="24"/>
        </w:rPr>
        <w:t>his divide would</w:t>
      </w:r>
      <w:r w:rsidR="00BA4B36">
        <w:rPr>
          <w:rFonts w:ascii="Times New Roman" w:hAnsi="Times New Roman" w:cs="Times New Roman"/>
          <w:sz w:val="24"/>
          <w:szCs w:val="24"/>
        </w:rPr>
        <w:t xml:space="preserve"> </w:t>
      </w:r>
      <w:r w:rsidR="00B45F7E">
        <w:rPr>
          <w:rFonts w:ascii="Times New Roman" w:hAnsi="Times New Roman" w:cs="Times New Roman"/>
          <w:sz w:val="24"/>
          <w:szCs w:val="24"/>
        </w:rPr>
        <w:t>work</w:t>
      </w:r>
      <w:r w:rsidR="00BA4B36">
        <w:rPr>
          <w:rFonts w:ascii="Times New Roman" w:hAnsi="Times New Roman" w:cs="Times New Roman"/>
          <w:sz w:val="24"/>
          <w:szCs w:val="24"/>
        </w:rPr>
        <w:t xml:space="preserve"> in the opposite direction</w:t>
      </w:r>
      <w:r w:rsidR="005157AA">
        <w:rPr>
          <w:rFonts w:ascii="Times New Roman" w:hAnsi="Times New Roman" w:cs="Times New Roman"/>
          <w:sz w:val="24"/>
          <w:szCs w:val="24"/>
        </w:rPr>
        <w:t>.</w:t>
      </w:r>
      <w:r w:rsidR="00BA4B36">
        <w:rPr>
          <w:rFonts w:ascii="Times New Roman" w:hAnsi="Times New Roman" w:cs="Times New Roman"/>
          <w:sz w:val="24"/>
          <w:szCs w:val="24"/>
        </w:rPr>
        <w:t xml:space="preserve"> </w:t>
      </w:r>
      <w:r w:rsidR="00B45F7E">
        <w:rPr>
          <w:rFonts w:ascii="Times New Roman" w:hAnsi="Times New Roman" w:cs="Times New Roman"/>
          <w:sz w:val="24"/>
          <w:szCs w:val="24"/>
        </w:rPr>
        <w:t xml:space="preserve">Moreover, </w:t>
      </w:r>
      <w:r w:rsidR="00BA4B36">
        <w:rPr>
          <w:rFonts w:ascii="Times New Roman" w:hAnsi="Times New Roman" w:cs="Times New Roman"/>
          <w:sz w:val="24"/>
          <w:szCs w:val="24"/>
        </w:rPr>
        <w:t>smaller databases</w:t>
      </w:r>
      <w:r w:rsidR="00E47C9F">
        <w:rPr>
          <w:rFonts w:ascii="Times New Roman" w:hAnsi="Times New Roman" w:cs="Times New Roman"/>
          <w:sz w:val="24"/>
          <w:szCs w:val="24"/>
        </w:rPr>
        <w:t xml:space="preserve"> contribute to the development</w:t>
      </w:r>
      <w:r w:rsidR="003C1B9C">
        <w:rPr>
          <w:rFonts w:ascii="Times New Roman" w:hAnsi="Times New Roman" w:cs="Times New Roman"/>
          <w:sz w:val="24"/>
          <w:szCs w:val="24"/>
        </w:rPr>
        <w:t xml:space="preserve"> of </w:t>
      </w:r>
      <w:r w:rsidR="00B45F7E">
        <w:rPr>
          <w:rFonts w:ascii="Times New Roman" w:hAnsi="Times New Roman" w:cs="Times New Roman"/>
          <w:sz w:val="24"/>
          <w:szCs w:val="24"/>
        </w:rPr>
        <w:t>the said</w:t>
      </w:r>
      <w:r w:rsidR="003C1B9C">
        <w:rPr>
          <w:rFonts w:ascii="Times New Roman" w:hAnsi="Times New Roman" w:cs="Times New Roman"/>
          <w:sz w:val="24"/>
          <w:szCs w:val="24"/>
        </w:rPr>
        <w:t xml:space="preserve"> market.</w:t>
      </w:r>
      <w:r w:rsidR="00764CB3">
        <w:rPr>
          <w:rFonts w:ascii="Times New Roman" w:hAnsi="Times New Roman" w:cs="Times New Roman"/>
          <w:sz w:val="24"/>
          <w:szCs w:val="24"/>
        </w:rPr>
        <w:t xml:space="preserve"> </w:t>
      </w:r>
      <w:r w:rsidR="00B45F7E">
        <w:rPr>
          <w:rFonts w:ascii="Times New Roman" w:hAnsi="Times New Roman" w:cs="Times New Roman"/>
          <w:sz w:val="24"/>
          <w:szCs w:val="24"/>
        </w:rPr>
        <w:t>I</w:t>
      </w:r>
      <w:r w:rsidR="001E520E">
        <w:rPr>
          <w:rFonts w:ascii="Times New Roman" w:hAnsi="Times New Roman" w:cs="Times New Roman"/>
          <w:sz w:val="24"/>
          <w:szCs w:val="24"/>
        </w:rPr>
        <w:t xml:space="preserve">f the bar is set high, as </w:t>
      </w:r>
      <w:r w:rsidR="00B45F7E">
        <w:rPr>
          <w:rFonts w:ascii="Times New Roman" w:hAnsi="Times New Roman" w:cs="Times New Roman"/>
          <w:sz w:val="24"/>
          <w:szCs w:val="24"/>
        </w:rPr>
        <w:t xml:space="preserve">has been </w:t>
      </w:r>
      <w:r w:rsidR="001E520E">
        <w:rPr>
          <w:rFonts w:ascii="Times New Roman" w:hAnsi="Times New Roman" w:cs="Times New Roman"/>
          <w:sz w:val="24"/>
          <w:szCs w:val="24"/>
        </w:rPr>
        <w:t xml:space="preserve">correctly pointed out, many makers would prefer to wait </w:t>
      </w:r>
      <w:r w:rsidR="00B45F7E">
        <w:rPr>
          <w:rFonts w:ascii="Times New Roman" w:hAnsi="Times New Roman" w:cs="Times New Roman"/>
          <w:sz w:val="24"/>
          <w:szCs w:val="24"/>
        </w:rPr>
        <w:t xml:space="preserve">for </w:t>
      </w:r>
      <w:r w:rsidR="001E520E">
        <w:rPr>
          <w:rFonts w:ascii="Times New Roman" w:hAnsi="Times New Roman" w:cs="Times New Roman"/>
          <w:sz w:val="24"/>
          <w:szCs w:val="24"/>
        </w:rPr>
        <w:t>their databases to become “costly”</w:t>
      </w:r>
      <w:r w:rsidR="005E028F">
        <w:rPr>
          <w:rFonts w:ascii="Times New Roman" w:hAnsi="Times New Roman" w:cs="Times New Roman"/>
          <w:sz w:val="24"/>
          <w:szCs w:val="24"/>
        </w:rPr>
        <w:t xml:space="preserve"> </w:t>
      </w:r>
      <w:r w:rsidR="005E028F" w:rsidRPr="005E028F">
        <w:rPr>
          <w:rFonts w:ascii="Times New Roman" w:hAnsi="Times New Roman" w:cs="Times New Roman"/>
          <w:sz w:val="24"/>
          <w:szCs w:val="24"/>
        </w:rPr>
        <w:t>enough</w:t>
      </w:r>
      <w:r w:rsidR="001E520E">
        <w:rPr>
          <w:rFonts w:ascii="Times New Roman" w:hAnsi="Times New Roman" w:cs="Times New Roman"/>
          <w:sz w:val="24"/>
          <w:szCs w:val="24"/>
        </w:rPr>
        <w:t xml:space="preserve"> before releasing them</w:t>
      </w:r>
      <w:r w:rsidR="00E47C9F">
        <w:rPr>
          <w:rFonts w:ascii="Times New Roman" w:hAnsi="Times New Roman" w:cs="Times New Roman"/>
          <w:sz w:val="24"/>
          <w:szCs w:val="24"/>
        </w:rPr>
        <w:t>.</w:t>
      </w:r>
      <w:r w:rsidR="003C1B9C">
        <w:rPr>
          <w:rStyle w:val="FootnoteReference"/>
          <w:rFonts w:ascii="Times New Roman" w:hAnsi="Times New Roman" w:cs="Times New Roman"/>
          <w:sz w:val="24"/>
          <w:szCs w:val="24"/>
        </w:rPr>
        <w:footnoteReference w:id="54"/>
      </w:r>
    </w:p>
    <w:p w14:paraId="60FF1A41" w14:textId="77777777" w:rsidR="00B45F7E" w:rsidRPr="00A65FBE" w:rsidRDefault="00B45F7E" w:rsidP="00065C4D">
      <w:pPr>
        <w:spacing w:after="0" w:line="240" w:lineRule="auto"/>
        <w:ind w:left="66"/>
        <w:jc w:val="both"/>
        <w:rPr>
          <w:rFonts w:ascii="Times New Roman" w:hAnsi="Times New Roman" w:cs="Times New Roman"/>
          <w:sz w:val="24"/>
          <w:szCs w:val="24"/>
        </w:rPr>
      </w:pPr>
    </w:p>
    <w:p w14:paraId="4E122238" w14:textId="17BAE8D0" w:rsidR="000E38F5" w:rsidRDefault="000E38F5" w:rsidP="000C0C32">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I</w:t>
      </w:r>
      <w:r w:rsidR="008910C6">
        <w:rPr>
          <w:rFonts w:ascii="Times New Roman" w:hAnsi="Times New Roman" w:cs="Times New Roman"/>
          <w:sz w:val="24"/>
          <w:szCs w:val="24"/>
        </w:rPr>
        <w:t xml:space="preserve">t is important also to state that this requirement </w:t>
      </w:r>
      <w:r w:rsidR="004C35CC">
        <w:rPr>
          <w:rFonts w:ascii="Times New Roman" w:hAnsi="Times New Roman" w:cs="Times New Roman"/>
          <w:sz w:val="24"/>
          <w:szCs w:val="24"/>
        </w:rPr>
        <w:t xml:space="preserve">must </w:t>
      </w:r>
      <w:r w:rsidR="008910C6">
        <w:rPr>
          <w:rFonts w:ascii="Times New Roman" w:hAnsi="Times New Roman" w:cs="Times New Roman"/>
          <w:sz w:val="24"/>
          <w:szCs w:val="24"/>
        </w:rPr>
        <w:t>be applied in an absolute way</w:t>
      </w:r>
      <w:r w:rsidR="000C6468">
        <w:rPr>
          <w:rFonts w:ascii="Times New Roman" w:hAnsi="Times New Roman" w:cs="Times New Roman"/>
          <w:sz w:val="24"/>
          <w:szCs w:val="24"/>
        </w:rPr>
        <w:t xml:space="preserve">, </w:t>
      </w:r>
      <w:proofErr w:type="gramStart"/>
      <w:r w:rsidR="000C6468">
        <w:rPr>
          <w:rFonts w:ascii="Times New Roman" w:hAnsi="Times New Roman" w:cs="Times New Roman"/>
          <w:sz w:val="24"/>
          <w:szCs w:val="24"/>
        </w:rPr>
        <w:t>i.e.</w:t>
      </w:r>
      <w:proofErr w:type="gramEnd"/>
      <w:r w:rsidR="000C6468">
        <w:rPr>
          <w:rFonts w:ascii="Times New Roman" w:hAnsi="Times New Roman" w:cs="Times New Roman"/>
          <w:sz w:val="24"/>
          <w:szCs w:val="24"/>
        </w:rPr>
        <w:t xml:space="preserve"> </w:t>
      </w:r>
      <w:r w:rsidR="00B45F7E">
        <w:rPr>
          <w:rFonts w:ascii="Times New Roman" w:hAnsi="Times New Roman" w:cs="Times New Roman"/>
          <w:sz w:val="24"/>
          <w:szCs w:val="24"/>
        </w:rPr>
        <w:t xml:space="preserve">by </w:t>
      </w:r>
      <w:r w:rsidR="000C6468">
        <w:rPr>
          <w:rFonts w:ascii="Times New Roman" w:hAnsi="Times New Roman" w:cs="Times New Roman"/>
          <w:sz w:val="24"/>
          <w:szCs w:val="24"/>
        </w:rPr>
        <w:t xml:space="preserve">setting a </w:t>
      </w:r>
      <w:r w:rsidR="000C6468">
        <w:rPr>
          <w:rFonts w:ascii="Times New Roman" w:hAnsi="Times New Roman" w:cs="Times New Roman"/>
          <w:i/>
          <w:sz w:val="24"/>
          <w:szCs w:val="24"/>
        </w:rPr>
        <w:t>de minimis</w:t>
      </w:r>
      <w:r w:rsidR="00B45F7E">
        <w:rPr>
          <w:rFonts w:ascii="Times New Roman" w:hAnsi="Times New Roman" w:cs="Times New Roman"/>
          <w:i/>
          <w:sz w:val="24"/>
          <w:szCs w:val="24"/>
        </w:rPr>
        <w:t xml:space="preserve"> </w:t>
      </w:r>
      <w:r w:rsidR="00B45F7E">
        <w:rPr>
          <w:rFonts w:ascii="Times New Roman" w:hAnsi="Times New Roman" w:cs="Times New Roman"/>
          <w:sz w:val="24"/>
          <w:szCs w:val="24"/>
        </w:rPr>
        <w:t>standard.</w:t>
      </w:r>
      <w:r w:rsidR="008910C6">
        <w:rPr>
          <w:rFonts w:ascii="Times New Roman" w:hAnsi="Times New Roman" w:cs="Times New Roman"/>
          <w:sz w:val="24"/>
          <w:szCs w:val="24"/>
        </w:rPr>
        <w:t xml:space="preserve"> </w:t>
      </w:r>
      <w:r w:rsidR="00B45F7E">
        <w:rPr>
          <w:rFonts w:ascii="Times New Roman" w:hAnsi="Times New Roman" w:cs="Times New Roman"/>
          <w:sz w:val="24"/>
          <w:szCs w:val="24"/>
        </w:rPr>
        <w:t xml:space="preserve">Given </w:t>
      </w:r>
      <w:r w:rsidR="008910C6">
        <w:rPr>
          <w:rFonts w:ascii="Times New Roman" w:hAnsi="Times New Roman" w:cs="Times New Roman"/>
          <w:sz w:val="24"/>
          <w:szCs w:val="24"/>
        </w:rPr>
        <w:t>that the threshold for the substantiality of the investment should be low, denying the relative char</w:t>
      </w:r>
      <w:r w:rsidR="00E47C9F">
        <w:rPr>
          <w:rFonts w:ascii="Times New Roman" w:hAnsi="Times New Roman" w:cs="Times New Roman"/>
          <w:sz w:val="24"/>
          <w:szCs w:val="24"/>
        </w:rPr>
        <w:t>acter of the condition at issue and excluding</w:t>
      </w:r>
      <w:r w:rsidR="000C6468">
        <w:rPr>
          <w:rFonts w:ascii="Times New Roman" w:hAnsi="Times New Roman" w:cs="Times New Roman"/>
          <w:sz w:val="24"/>
          <w:szCs w:val="24"/>
        </w:rPr>
        <w:t xml:space="preserve"> the relevance of </w:t>
      </w:r>
      <w:r w:rsidR="00B45F7E">
        <w:rPr>
          <w:rFonts w:ascii="Times New Roman" w:hAnsi="Times New Roman" w:cs="Times New Roman"/>
          <w:sz w:val="24"/>
          <w:szCs w:val="24"/>
        </w:rPr>
        <w:t xml:space="preserve">related </w:t>
      </w:r>
      <w:r w:rsidR="000C6468">
        <w:rPr>
          <w:rFonts w:ascii="Times New Roman" w:hAnsi="Times New Roman" w:cs="Times New Roman"/>
          <w:sz w:val="24"/>
          <w:szCs w:val="24"/>
        </w:rPr>
        <w:t xml:space="preserve">factors </w:t>
      </w:r>
      <w:r w:rsidR="00B45F7E">
        <w:rPr>
          <w:rFonts w:ascii="Times New Roman" w:hAnsi="Times New Roman" w:cs="Times New Roman"/>
          <w:sz w:val="24"/>
          <w:szCs w:val="24"/>
        </w:rPr>
        <w:t>(</w:t>
      </w:r>
      <w:proofErr w:type="gramStart"/>
      <w:r w:rsidR="000C6468">
        <w:rPr>
          <w:rFonts w:ascii="Times New Roman" w:hAnsi="Times New Roman" w:cs="Times New Roman"/>
          <w:sz w:val="24"/>
          <w:szCs w:val="24"/>
        </w:rPr>
        <w:t>e.g.</w:t>
      </w:r>
      <w:proofErr w:type="gramEnd"/>
      <w:r w:rsidR="000C6468">
        <w:rPr>
          <w:rFonts w:ascii="Times New Roman" w:hAnsi="Times New Roman" w:cs="Times New Roman"/>
          <w:sz w:val="24"/>
          <w:szCs w:val="24"/>
        </w:rPr>
        <w:t xml:space="preserve"> the </w:t>
      </w:r>
      <w:r w:rsidR="00B45F7E">
        <w:rPr>
          <w:rFonts w:ascii="Times New Roman" w:hAnsi="Times New Roman" w:cs="Times New Roman"/>
          <w:sz w:val="24"/>
          <w:szCs w:val="24"/>
        </w:rPr>
        <w:t>size</w:t>
      </w:r>
      <w:r w:rsidR="000C6468">
        <w:rPr>
          <w:rFonts w:ascii="Times New Roman" w:hAnsi="Times New Roman" w:cs="Times New Roman"/>
          <w:sz w:val="24"/>
          <w:szCs w:val="24"/>
        </w:rPr>
        <w:t xml:space="preserve"> of the company or the usual </w:t>
      </w:r>
      <w:r w:rsidR="00B45F7E">
        <w:rPr>
          <w:rFonts w:ascii="Times New Roman" w:hAnsi="Times New Roman" w:cs="Times New Roman"/>
          <w:sz w:val="24"/>
          <w:szCs w:val="24"/>
        </w:rPr>
        <w:t xml:space="preserve">level of </w:t>
      </w:r>
      <w:r w:rsidR="000C6468">
        <w:rPr>
          <w:rFonts w:ascii="Times New Roman" w:hAnsi="Times New Roman" w:cs="Times New Roman"/>
          <w:sz w:val="24"/>
          <w:szCs w:val="24"/>
        </w:rPr>
        <w:t>investment in its particular field</w:t>
      </w:r>
      <w:r w:rsidR="00B45F7E">
        <w:rPr>
          <w:rFonts w:ascii="Times New Roman" w:hAnsi="Times New Roman" w:cs="Times New Roman"/>
          <w:sz w:val="24"/>
          <w:szCs w:val="24"/>
        </w:rPr>
        <w:t>)</w:t>
      </w:r>
      <w:r w:rsidR="008910C6">
        <w:rPr>
          <w:rFonts w:ascii="Times New Roman" w:hAnsi="Times New Roman" w:cs="Times New Roman"/>
          <w:sz w:val="24"/>
          <w:szCs w:val="24"/>
        </w:rPr>
        <w:t xml:space="preserve"> would not limit </w:t>
      </w:r>
      <w:r w:rsidR="00B45F7E">
        <w:rPr>
          <w:rFonts w:ascii="Times New Roman" w:hAnsi="Times New Roman" w:cs="Times New Roman"/>
          <w:sz w:val="24"/>
          <w:szCs w:val="24"/>
        </w:rPr>
        <w:t xml:space="preserve">smaller companies’ </w:t>
      </w:r>
      <w:r w:rsidR="008910C6">
        <w:rPr>
          <w:rFonts w:ascii="Times New Roman" w:hAnsi="Times New Roman" w:cs="Times New Roman"/>
          <w:sz w:val="24"/>
          <w:szCs w:val="24"/>
        </w:rPr>
        <w:t xml:space="preserve">access to protection. </w:t>
      </w:r>
      <w:r w:rsidR="00B45F7E">
        <w:rPr>
          <w:rFonts w:ascii="Times New Roman" w:hAnsi="Times New Roman" w:cs="Times New Roman"/>
          <w:sz w:val="24"/>
          <w:szCs w:val="24"/>
        </w:rPr>
        <w:t>A</w:t>
      </w:r>
      <w:r w:rsidR="00E47C9F">
        <w:rPr>
          <w:rFonts w:ascii="Times New Roman" w:hAnsi="Times New Roman" w:cs="Times New Roman"/>
          <w:sz w:val="24"/>
          <w:szCs w:val="24"/>
        </w:rPr>
        <w:t xml:space="preserve">t the same time, </w:t>
      </w:r>
      <w:r w:rsidR="00B45F7E">
        <w:rPr>
          <w:rFonts w:ascii="Times New Roman" w:hAnsi="Times New Roman" w:cs="Times New Roman"/>
          <w:sz w:val="24"/>
          <w:szCs w:val="24"/>
        </w:rPr>
        <w:t xml:space="preserve">this </w:t>
      </w:r>
      <w:r w:rsidR="00E47C9F">
        <w:rPr>
          <w:rFonts w:ascii="Times New Roman" w:hAnsi="Times New Roman" w:cs="Times New Roman"/>
          <w:sz w:val="24"/>
          <w:szCs w:val="24"/>
        </w:rPr>
        <w:t>approach</w:t>
      </w:r>
      <w:r w:rsidR="008910C6">
        <w:rPr>
          <w:rFonts w:ascii="Times New Roman" w:hAnsi="Times New Roman" w:cs="Times New Roman"/>
          <w:sz w:val="24"/>
          <w:szCs w:val="24"/>
        </w:rPr>
        <w:t xml:space="preserve"> would lead to uniform application of this criterion, </w:t>
      </w:r>
      <w:r w:rsidR="00B45F7E">
        <w:rPr>
          <w:rFonts w:ascii="Times New Roman" w:hAnsi="Times New Roman" w:cs="Times New Roman"/>
          <w:sz w:val="24"/>
          <w:szCs w:val="24"/>
        </w:rPr>
        <w:t xml:space="preserve">thus ensuring </w:t>
      </w:r>
      <w:r w:rsidR="008910C6">
        <w:rPr>
          <w:rFonts w:ascii="Times New Roman" w:hAnsi="Times New Roman" w:cs="Times New Roman"/>
          <w:sz w:val="24"/>
          <w:szCs w:val="24"/>
        </w:rPr>
        <w:t xml:space="preserve">the stability of the legal basis </w:t>
      </w:r>
      <w:r w:rsidR="00B45F7E">
        <w:rPr>
          <w:rFonts w:ascii="Times New Roman" w:hAnsi="Times New Roman" w:cs="Times New Roman"/>
          <w:sz w:val="24"/>
          <w:szCs w:val="24"/>
        </w:rPr>
        <w:t xml:space="preserve">for </w:t>
      </w:r>
      <w:r w:rsidR="008910C6">
        <w:rPr>
          <w:rFonts w:ascii="Times New Roman" w:hAnsi="Times New Roman" w:cs="Times New Roman"/>
          <w:sz w:val="24"/>
          <w:szCs w:val="24"/>
        </w:rPr>
        <w:t xml:space="preserve">the </w:t>
      </w:r>
      <w:r w:rsidR="008910C6" w:rsidRPr="00F759E2">
        <w:rPr>
          <w:rFonts w:ascii="Times New Roman" w:hAnsi="Times New Roman" w:cs="Times New Roman"/>
          <w:sz w:val="24"/>
          <w:szCs w:val="24"/>
        </w:rPr>
        <w:t>sui generis</w:t>
      </w:r>
      <w:r w:rsidR="008910C6">
        <w:rPr>
          <w:rFonts w:ascii="Times New Roman" w:hAnsi="Times New Roman" w:cs="Times New Roman"/>
          <w:i/>
          <w:sz w:val="24"/>
          <w:szCs w:val="24"/>
        </w:rPr>
        <w:t xml:space="preserve"> </w:t>
      </w:r>
      <w:r w:rsidR="008910C6">
        <w:rPr>
          <w:rFonts w:ascii="Times New Roman" w:hAnsi="Times New Roman" w:cs="Times New Roman"/>
          <w:sz w:val="24"/>
          <w:szCs w:val="24"/>
        </w:rPr>
        <w:t>right</w:t>
      </w:r>
      <w:r w:rsidR="000C0C32">
        <w:rPr>
          <w:rFonts w:ascii="Times New Roman" w:hAnsi="Times New Roman" w:cs="Times New Roman"/>
          <w:sz w:val="24"/>
          <w:szCs w:val="24"/>
        </w:rPr>
        <w:t>.</w:t>
      </w:r>
      <w:r w:rsidR="006859B5">
        <w:rPr>
          <w:rStyle w:val="FootnoteReference"/>
          <w:rFonts w:ascii="Times New Roman" w:hAnsi="Times New Roman" w:cs="Times New Roman"/>
          <w:sz w:val="24"/>
          <w:szCs w:val="24"/>
        </w:rPr>
        <w:footnoteReference w:id="55"/>
      </w:r>
      <w:r w:rsidR="00A3759B">
        <w:rPr>
          <w:rFonts w:ascii="Times New Roman" w:hAnsi="Times New Roman" w:cs="Times New Roman"/>
          <w:sz w:val="24"/>
          <w:szCs w:val="24"/>
        </w:rPr>
        <w:t xml:space="preserve"> </w:t>
      </w:r>
    </w:p>
    <w:p w14:paraId="0BFEEE6A" w14:textId="77777777" w:rsidR="004C35CC" w:rsidRDefault="004C35CC" w:rsidP="00065C4D">
      <w:pPr>
        <w:spacing w:after="0" w:line="240" w:lineRule="auto"/>
        <w:ind w:left="66"/>
        <w:jc w:val="both"/>
        <w:rPr>
          <w:rFonts w:ascii="Times New Roman" w:hAnsi="Times New Roman" w:cs="Times New Roman"/>
          <w:sz w:val="24"/>
          <w:szCs w:val="24"/>
        </w:rPr>
      </w:pPr>
    </w:p>
    <w:p w14:paraId="161BDA90" w14:textId="1274E12C" w:rsidR="008910C6" w:rsidRDefault="000E38F5" w:rsidP="00065C4D">
      <w:pPr>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Finally, the investment </w:t>
      </w:r>
      <w:r w:rsidR="004C35CC">
        <w:rPr>
          <w:rFonts w:ascii="Times New Roman" w:hAnsi="Times New Roman" w:cs="Times New Roman"/>
          <w:sz w:val="24"/>
          <w:szCs w:val="24"/>
        </w:rPr>
        <w:t xml:space="preserve">must </w:t>
      </w:r>
      <w:r>
        <w:rPr>
          <w:rFonts w:ascii="Times New Roman" w:hAnsi="Times New Roman" w:cs="Times New Roman"/>
          <w:sz w:val="24"/>
          <w:szCs w:val="24"/>
        </w:rPr>
        <w:t>be substantial from a quantitative or qualitative perspective. The former refers to quantifiable resources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time and money)</w:t>
      </w:r>
      <w:r w:rsidR="004C35CC">
        <w:rPr>
          <w:rFonts w:ascii="Times New Roman" w:hAnsi="Times New Roman" w:cs="Times New Roman"/>
          <w:sz w:val="24"/>
          <w:szCs w:val="24"/>
        </w:rPr>
        <w:t>,</w:t>
      </w:r>
      <w:r>
        <w:rPr>
          <w:rFonts w:ascii="Times New Roman" w:hAnsi="Times New Roman" w:cs="Times New Roman"/>
          <w:sz w:val="24"/>
          <w:szCs w:val="24"/>
        </w:rPr>
        <w:t xml:space="preserve"> the latter to intellectual effort or energy</w:t>
      </w:r>
      <w:r w:rsidR="004C35CC">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008D648B">
        <w:rPr>
          <w:rFonts w:ascii="Times New Roman" w:hAnsi="Times New Roman" w:cs="Times New Roman"/>
          <w:sz w:val="24"/>
          <w:szCs w:val="24"/>
        </w:rPr>
        <w:t xml:space="preserve"> </w:t>
      </w:r>
      <w:r w:rsidR="005D15EE">
        <w:rPr>
          <w:rFonts w:ascii="Times New Roman" w:hAnsi="Times New Roman" w:cs="Times New Roman"/>
          <w:sz w:val="24"/>
          <w:szCs w:val="24"/>
        </w:rPr>
        <w:t xml:space="preserve">The </w:t>
      </w:r>
      <w:r w:rsidR="005D15EE">
        <w:rPr>
          <w:rFonts w:ascii="Times New Roman" w:hAnsi="Times New Roman" w:cs="Times New Roman"/>
          <w:sz w:val="24"/>
          <w:szCs w:val="24"/>
        </w:rPr>
        <w:lastRenderedPageBreak/>
        <w:t xml:space="preserve">relevant aspect of </w:t>
      </w:r>
      <w:r w:rsidR="008D648B">
        <w:rPr>
          <w:rFonts w:ascii="Times New Roman" w:hAnsi="Times New Roman" w:cs="Times New Roman"/>
          <w:sz w:val="24"/>
          <w:szCs w:val="24"/>
        </w:rPr>
        <w:t xml:space="preserve">this part of the </w:t>
      </w:r>
      <w:r w:rsidR="00756719">
        <w:rPr>
          <w:rFonts w:ascii="Times New Roman" w:hAnsi="Times New Roman" w:cs="Times New Roman"/>
          <w:sz w:val="24"/>
          <w:szCs w:val="24"/>
        </w:rPr>
        <w:t>A</w:t>
      </w:r>
      <w:r w:rsidR="008D648B">
        <w:rPr>
          <w:rFonts w:ascii="Times New Roman" w:hAnsi="Times New Roman" w:cs="Times New Roman"/>
          <w:sz w:val="24"/>
          <w:szCs w:val="24"/>
        </w:rPr>
        <w:t>rticle 7</w:t>
      </w:r>
      <w:r w:rsidR="00B227AC">
        <w:rPr>
          <w:rFonts w:ascii="Times New Roman" w:hAnsi="Times New Roman" w:cs="Times New Roman"/>
          <w:sz w:val="24"/>
          <w:szCs w:val="24"/>
        </w:rPr>
        <w:t xml:space="preserve"> is that these requirements </w:t>
      </w:r>
      <w:r w:rsidR="005D15EE">
        <w:rPr>
          <w:rFonts w:ascii="Times New Roman" w:hAnsi="Times New Roman" w:cs="Times New Roman"/>
          <w:sz w:val="24"/>
          <w:szCs w:val="24"/>
        </w:rPr>
        <w:t xml:space="preserve">can </w:t>
      </w:r>
      <w:r w:rsidR="00B227AC">
        <w:rPr>
          <w:rFonts w:ascii="Times New Roman" w:hAnsi="Times New Roman" w:cs="Times New Roman"/>
          <w:sz w:val="24"/>
          <w:szCs w:val="24"/>
        </w:rPr>
        <w:t>also be alternative. Thus, a database that has required only a qualitatively substantial investment c</w:t>
      </w:r>
      <w:r w:rsidR="005D15EE">
        <w:rPr>
          <w:rFonts w:ascii="Times New Roman" w:hAnsi="Times New Roman" w:cs="Times New Roman"/>
          <w:sz w:val="24"/>
          <w:szCs w:val="24"/>
        </w:rPr>
        <w:t>ould</w:t>
      </w:r>
      <w:r w:rsidR="00B227AC">
        <w:rPr>
          <w:rFonts w:ascii="Times New Roman" w:hAnsi="Times New Roman" w:cs="Times New Roman"/>
          <w:sz w:val="24"/>
          <w:szCs w:val="24"/>
        </w:rPr>
        <w:t xml:space="preserve"> be protected even in the absence of </w:t>
      </w:r>
      <w:r w:rsidR="005E028F">
        <w:rPr>
          <w:rFonts w:ascii="Times New Roman" w:hAnsi="Times New Roman" w:cs="Times New Roman"/>
          <w:sz w:val="24"/>
          <w:szCs w:val="24"/>
        </w:rPr>
        <w:t>significant financial commitment</w:t>
      </w:r>
      <w:r w:rsidR="00B227AC">
        <w:rPr>
          <w:rFonts w:ascii="Times New Roman" w:hAnsi="Times New Roman" w:cs="Times New Roman"/>
          <w:sz w:val="24"/>
          <w:szCs w:val="24"/>
        </w:rPr>
        <w:t xml:space="preserve">. </w:t>
      </w:r>
      <w:r w:rsidR="005E028F">
        <w:rPr>
          <w:rFonts w:ascii="Times New Roman" w:hAnsi="Times New Roman" w:cs="Times New Roman"/>
          <w:sz w:val="24"/>
          <w:szCs w:val="24"/>
        </w:rPr>
        <w:t xml:space="preserve">This aside, </w:t>
      </w:r>
      <w:r>
        <w:rPr>
          <w:rFonts w:ascii="Times New Roman" w:hAnsi="Times New Roman" w:cs="Times New Roman"/>
          <w:sz w:val="24"/>
          <w:szCs w:val="24"/>
        </w:rPr>
        <w:t xml:space="preserve">these two terms are not particularly important, considering that they regard the investment </w:t>
      </w:r>
      <w:r w:rsidR="005D15EE">
        <w:rPr>
          <w:rFonts w:ascii="Times New Roman" w:hAnsi="Times New Roman" w:cs="Times New Roman"/>
          <w:sz w:val="24"/>
          <w:szCs w:val="24"/>
        </w:rPr>
        <w:t xml:space="preserve">itself </w:t>
      </w:r>
      <w:r>
        <w:rPr>
          <w:rFonts w:ascii="Times New Roman" w:hAnsi="Times New Roman" w:cs="Times New Roman"/>
          <w:sz w:val="24"/>
          <w:szCs w:val="24"/>
        </w:rPr>
        <w:t>and not the amount or quality of the elements of the database</w:t>
      </w:r>
      <w:r w:rsidR="00B227AC">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14:paraId="7837FD8E" w14:textId="77777777" w:rsidR="00065C4D" w:rsidRPr="00065C4D" w:rsidRDefault="00065C4D" w:rsidP="00DC2150">
      <w:pPr>
        <w:spacing w:after="0" w:line="240" w:lineRule="auto"/>
        <w:jc w:val="both"/>
        <w:rPr>
          <w:rFonts w:ascii="Times New Roman" w:hAnsi="Times New Roman" w:cs="Times New Roman"/>
          <w:b/>
          <w:sz w:val="24"/>
          <w:szCs w:val="24"/>
        </w:rPr>
      </w:pPr>
    </w:p>
    <w:p w14:paraId="6A5260EB" w14:textId="683A3848" w:rsidR="00734021" w:rsidRDefault="00734021" w:rsidP="00571899">
      <w:pPr>
        <w:pStyle w:val="Titoloperindice"/>
        <w:numPr>
          <w:ilvl w:val="0"/>
          <w:numId w:val="2"/>
        </w:numPr>
      </w:pPr>
      <w:r>
        <w:t xml:space="preserve">Sneaking through the window. The </w:t>
      </w:r>
      <w:r>
        <w:rPr>
          <w:i/>
        </w:rPr>
        <w:t xml:space="preserve">Ryanair </w:t>
      </w:r>
      <w:proofErr w:type="gramStart"/>
      <w:r>
        <w:t>case</w:t>
      </w:r>
      <w:proofErr w:type="gramEnd"/>
      <w:r>
        <w:t>.</w:t>
      </w:r>
    </w:p>
    <w:p w14:paraId="03AB9330" w14:textId="77777777" w:rsidR="00734021" w:rsidRDefault="00734021" w:rsidP="00734021">
      <w:pPr>
        <w:pStyle w:val="Titoloperindice"/>
      </w:pPr>
    </w:p>
    <w:p w14:paraId="6A29892B" w14:textId="77777777" w:rsidR="005D15EE" w:rsidRDefault="00734021" w:rsidP="00345BB8">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Before applying the requirements described in the previous sections, </w:t>
      </w:r>
      <w:r w:rsidR="00CD6213" w:rsidRPr="006F2378">
        <w:rPr>
          <w:rFonts w:ascii="Times New Roman" w:hAnsi="Times New Roman" w:cs="Times New Roman"/>
          <w:sz w:val="24"/>
          <w:szCs w:val="24"/>
        </w:rPr>
        <w:t xml:space="preserve">it is important to highlight what the future holds for databases that do not comply with the </w:t>
      </w:r>
      <w:r w:rsidR="00E47C9F">
        <w:rPr>
          <w:rFonts w:ascii="Times New Roman" w:hAnsi="Times New Roman" w:cs="Times New Roman"/>
          <w:sz w:val="24"/>
          <w:szCs w:val="24"/>
        </w:rPr>
        <w:t>provisions of Article 7.</w:t>
      </w:r>
    </w:p>
    <w:p w14:paraId="0894E20D" w14:textId="5680218B" w:rsidR="00E47C9F" w:rsidRDefault="00E47C9F" w:rsidP="00345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A82EC1" w14:textId="623B9AEF" w:rsidR="005D15EE" w:rsidRDefault="00E47C9F" w:rsidP="00345BB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Prima facie </w:t>
      </w:r>
      <w:r>
        <w:rPr>
          <w:rFonts w:ascii="Times New Roman" w:hAnsi="Times New Roman" w:cs="Times New Roman"/>
          <w:sz w:val="24"/>
          <w:szCs w:val="24"/>
        </w:rPr>
        <w:t>w</w:t>
      </w:r>
      <w:r w:rsidR="00CD6213" w:rsidRPr="006F2378">
        <w:rPr>
          <w:rFonts w:ascii="Times New Roman" w:hAnsi="Times New Roman" w:cs="Times New Roman"/>
          <w:sz w:val="24"/>
          <w:szCs w:val="24"/>
        </w:rPr>
        <w:t xml:space="preserve">e </w:t>
      </w:r>
      <w:r w:rsidR="005D15EE">
        <w:rPr>
          <w:rFonts w:ascii="Times New Roman" w:hAnsi="Times New Roman" w:cs="Times New Roman"/>
          <w:sz w:val="24"/>
          <w:szCs w:val="24"/>
        </w:rPr>
        <w:t>might</w:t>
      </w:r>
      <w:r w:rsidR="005D15EE" w:rsidRPr="006F2378">
        <w:rPr>
          <w:rFonts w:ascii="Times New Roman" w:hAnsi="Times New Roman" w:cs="Times New Roman"/>
          <w:sz w:val="24"/>
          <w:szCs w:val="24"/>
        </w:rPr>
        <w:t xml:space="preserve"> </w:t>
      </w:r>
      <w:r w:rsidR="00CD6213" w:rsidRPr="006F2378">
        <w:rPr>
          <w:rFonts w:ascii="Times New Roman" w:hAnsi="Times New Roman" w:cs="Times New Roman"/>
          <w:sz w:val="24"/>
          <w:szCs w:val="24"/>
        </w:rPr>
        <w:t xml:space="preserve">think that they </w:t>
      </w:r>
      <w:r w:rsidR="005D15EE">
        <w:rPr>
          <w:rFonts w:ascii="Times New Roman" w:hAnsi="Times New Roman" w:cs="Times New Roman"/>
          <w:sz w:val="24"/>
          <w:szCs w:val="24"/>
        </w:rPr>
        <w:t>would be simply</w:t>
      </w:r>
      <w:r w:rsidR="00CD6213" w:rsidRPr="006F2378">
        <w:rPr>
          <w:rFonts w:ascii="Times New Roman" w:hAnsi="Times New Roman" w:cs="Times New Roman"/>
          <w:sz w:val="24"/>
          <w:szCs w:val="24"/>
        </w:rPr>
        <w:t xml:space="preserve"> unprotected but</w:t>
      </w:r>
      <w:r w:rsidR="00345BB8" w:rsidRPr="006F2378">
        <w:rPr>
          <w:rFonts w:ascii="Times New Roman" w:hAnsi="Times New Roman" w:cs="Times New Roman"/>
          <w:sz w:val="24"/>
          <w:szCs w:val="24"/>
        </w:rPr>
        <w:t>, at the same time</w:t>
      </w:r>
      <w:r w:rsidR="005D15EE">
        <w:rPr>
          <w:rFonts w:ascii="Times New Roman" w:hAnsi="Times New Roman" w:cs="Times New Roman"/>
          <w:sz w:val="24"/>
          <w:szCs w:val="24"/>
        </w:rPr>
        <w:t>,</w:t>
      </w:r>
      <w:r w:rsidR="00345BB8" w:rsidRPr="006F2378">
        <w:rPr>
          <w:rFonts w:ascii="Times New Roman" w:hAnsi="Times New Roman" w:cs="Times New Roman"/>
          <w:sz w:val="24"/>
          <w:szCs w:val="24"/>
        </w:rPr>
        <w:t xml:space="preserve"> subject to the other relevant provisions of the Directive. </w:t>
      </w:r>
      <w:proofErr w:type="gramStart"/>
      <w:r w:rsidR="00345BB8" w:rsidRPr="006F2378">
        <w:rPr>
          <w:rFonts w:ascii="Times New Roman" w:hAnsi="Times New Roman" w:cs="Times New Roman"/>
          <w:sz w:val="24"/>
          <w:szCs w:val="24"/>
        </w:rPr>
        <w:t>In particular, we</w:t>
      </w:r>
      <w:proofErr w:type="gramEnd"/>
      <w:r w:rsidR="00345BB8" w:rsidRPr="006F2378">
        <w:rPr>
          <w:rFonts w:ascii="Times New Roman" w:hAnsi="Times New Roman" w:cs="Times New Roman"/>
          <w:sz w:val="24"/>
          <w:szCs w:val="24"/>
        </w:rPr>
        <w:t xml:space="preserve"> might believe that Articles 8 and 15 </w:t>
      </w:r>
      <w:r w:rsidR="005D15EE">
        <w:rPr>
          <w:rFonts w:ascii="Times New Roman" w:hAnsi="Times New Roman" w:cs="Times New Roman"/>
          <w:sz w:val="24"/>
          <w:szCs w:val="24"/>
        </w:rPr>
        <w:t>would still</w:t>
      </w:r>
      <w:r w:rsidR="00345BB8" w:rsidRPr="006F2378">
        <w:rPr>
          <w:rFonts w:ascii="Times New Roman" w:hAnsi="Times New Roman" w:cs="Times New Roman"/>
          <w:sz w:val="24"/>
          <w:szCs w:val="24"/>
        </w:rPr>
        <w:t xml:space="preserve"> be applicable. Under </w:t>
      </w:r>
      <w:r w:rsidR="00345BB8" w:rsidRPr="00345BB8">
        <w:rPr>
          <w:rFonts w:ascii="Times New Roman" w:hAnsi="Times New Roman" w:cs="Times New Roman"/>
          <w:sz w:val="24"/>
          <w:szCs w:val="24"/>
        </w:rPr>
        <w:t>A</w:t>
      </w:r>
      <w:r w:rsidR="00345BB8" w:rsidRPr="00E206E9">
        <w:rPr>
          <w:rFonts w:ascii="Times New Roman" w:hAnsi="Times New Roman" w:cs="Times New Roman"/>
          <w:sz w:val="24"/>
          <w:szCs w:val="24"/>
        </w:rPr>
        <w:t>rticle 8(1) of the Database Directive, the maker of a database made available to the public cannot prevent a lawful user from extracting and/or re-utilizing insubstantial parts of it, for any purposes. Moreov</w:t>
      </w:r>
      <w:r w:rsidR="005269A5">
        <w:rPr>
          <w:rFonts w:ascii="Times New Roman" w:hAnsi="Times New Roman" w:cs="Times New Roman"/>
          <w:sz w:val="24"/>
          <w:szCs w:val="24"/>
        </w:rPr>
        <w:t>er, according to A</w:t>
      </w:r>
      <w:r w:rsidR="00345BB8" w:rsidRPr="00E206E9">
        <w:rPr>
          <w:rFonts w:ascii="Times New Roman" w:hAnsi="Times New Roman" w:cs="Times New Roman"/>
          <w:sz w:val="24"/>
          <w:szCs w:val="24"/>
        </w:rPr>
        <w:t>rticle 15 of the</w:t>
      </w:r>
      <w:r w:rsidR="00345BB8" w:rsidRPr="009A1CDC">
        <w:rPr>
          <w:rFonts w:ascii="Times New Roman" w:hAnsi="Times New Roman" w:cs="Times New Roman"/>
          <w:sz w:val="24"/>
          <w:szCs w:val="24"/>
        </w:rPr>
        <w:t xml:space="preserve"> Directive, any contractual term</w:t>
      </w:r>
      <w:r w:rsidR="00345BB8" w:rsidRPr="00267501">
        <w:rPr>
          <w:rFonts w:ascii="Times New Roman" w:hAnsi="Times New Roman" w:cs="Times New Roman"/>
          <w:sz w:val="24"/>
          <w:szCs w:val="24"/>
        </w:rPr>
        <w:t xml:space="preserve"> contrary to the above-mentioned provision is void. However, as stated </w:t>
      </w:r>
      <w:r w:rsidR="009A1CDC" w:rsidRPr="003D219C">
        <w:rPr>
          <w:rFonts w:ascii="Times New Roman" w:hAnsi="Times New Roman" w:cs="Times New Roman"/>
          <w:sz w:val="24"/>
          <w:szCs w:val="24"/>
        </w:rPr>
        <w:t xml:space="preserve">by the CJEU in the </w:t>
      </w:r>
      <w:r w:rsidR="009A1CDC">
        <w:rPr>
          <w:rFonts w:ascii="Times New Roman" w:hAnsi="Times New Roman" w:cs="Times New Roman"/>
          <w:i/>
          <w:sz w:val="24"/>
          <w:szCs w:val="24"/>
        </w:rPr>
        <w:t>Ryanair</w:t>
      </w:r>
      <w:r w:rsidR="009A1CDC">
        <w:rPr>
          <w:rFonts w:ascii="Times New Roman" w:hAnsi="Times New Roman" w:cs="Times New Roman"/>
          <w:sz w:val="24"/>
          <w:szCs w:val="24"/>
        </w:rPr>
        <w:t xml:space="preserve"> case</w:t>
      </w:r>
      <w:r w:rsidR="009A1CDC">
        <w:rPr>
          <w:rStyle w:val="FootnoteReference"/>
          <w:rFonts w:ascii="Times New Roman" w:hAnsi="Times New Roman" w:cs="Times New Roman"/>
          <w:sz w:val="24"/>
          <w:szCs w:val="24"/>
        </w:rPr>
        <w:footnoteReference w:id="58"/>
      </w:r>
      <w:r w:rsidR="00756719">
        <w:rPr>
          <w:rFonts w:ascii="Times New Roman" w:hAnsi="Times New Roman" w:cs="Times New Roman"/>
          <w:sz w:val="24"/>
          <w:szCs w:val="24"/>
        </w:rPr>
        <w:t>, A</w:t>
      </w:r>
      <w:r w:rsidR="00345BB8" w:rsidRPr="009A1CDC">
        <w:rPr>
          <w:rFonts w:ascii="Times New Roman" w:hAnsi="Times New Roman" w:cs="Times New Roman"/>
          <w:sz w:val="24"/>
          <w:szCs w:val="24"/>
        </w:rPr>
        <w:t>rticles 8 and 15 of the Directive do not apply to databa</w:t>
      </w:r>
      <w:r w:rsidR="00756719">
        <w:rPr>
          <w:rFonts w:ascii="Times New Roman" w:hAnsi="Times New Roman" w:cs="Times New Roman"/>
          <w:sz w:val="24"/>
          <w:szCs w:val="24"/>
        </w:rPr>
        <w:t>se</w:t>
      </w:r>
      <w:r w:rsidR="005D15EE">
        <w:rPr>
          <w:rFonts w:ascii="Times New Roman" w:hAnsi="Times New Roman" w:cs="Times New Roman"/>
          <w:sz w:val="24"/>
          <w:szCs w:val="24"/>
        </w:rPr>
        <w:t>s</w:t>
      </w:r>
      <w:r w:rsidR="00756719">
        <w:rPr>
          <w:rFonts w:ascii="Times New Roman" w:hAnsi="Times New Roman" w:cs="Times New Roman"/>
          <w:sz w:val="24"/>
          <w:szCs w:val="24"/>
        </w:rPr>
        <w:t xml:space="preserve"> that </w:t>
      </w:r>
      <w:r w:rsidR="005D15EE">
        <w:rPr>
          <w:rFonts w:ascii="Times New Roman" w:hAnsi="Times New Roman" w:cs="Times New Roman"/>
          <w:sz w:val="24"/>
          <w:szCs w:val="24"/>
        </w:rPr>
        <w:t>are</w:t>
      </w:r>
      <w:r w:rsidR="00756719">
        <w:rPr>
          <w:rFonts w:ascii="Times New Roman" w:hAnsi="Times New Roman" w:cs="Times New Roman"/>
          <w:sz w:val="24"/>
          <w:szCs w:val="24"/>
        </w:rPr>
        <w:t xml:space="preserve"> not protected under A</w:t>
      </w:r>
      <w:r w:rsidR="00345BB8" w:rsidRPr="009A1CDC">
        <w:rPr>
          <w:rFonts w:ascii="Times New Roman" w:hAnsi="Times New Roman" w:cs="Times New Roman"/>
          <w:sz w:val="24"/>
          <w:szCs w:val="24"/>
        </w:rPr>
        <w:t>rticle 7</w:t>
      </w:r>
      <w:r w:rsidR="005D15EE">
        <w:rPr>
          <w:rFonts w:ascii="Times New Roman" w:hAnsi="Times New Roman" w:cs="Times New Roman"/>
          <w:sz w:val="24"/>
          <w:szCs w:val="24"/>
        </w:rPr>
        <w:t>.</w:t>
      </w:r>
      <w:r w:rsidR="00345BB8" w:rsidRPr="00345BB8">
        <w:rPr>
          <w:rStyle w:val="FootnoteReference"/>
          <w:rFonts w:ascii="Times New Roman" w:hAnsi="Times New Roman" w:cs="Times New Roman"/>
          <w:sz w:val="24"/>
          <w:szCs w:val="24"/>
        </w:rPr>
        <w:footnoteReference w:id="59"/>
      </w:r>
      <w:r w:rsidR="00345BB8" w:rsidRPr="00E206E9">
        <w:rPr>
          <w:rFonts w:ascii="Times New Roman" w:hAnsi="Times New Roman" w:cs="Times New Roman"/>
          <w:sz w:val="24"/>
          <w:szCs w:val="24"/>
        </w:rPr>
        <w:t xml:space="preserve"> This heavily criticized</w:t>
      </w:r>
      <w:r w:rsidR="00345BB8" w:rsidRPr="00345BB8">
        <w:rPr>
          <w:rStyle w:val="FootnoteReference"/>
          <w:rFonts w:ascii="Times New Roman" w:hAnsi="Times New Roman" w:cs="Times New Roman"/>
          <w:sz w:val="24"/>
          <w:szCs w:val="24"/>
        </w:rPr>
        <w:footnoteReference w:id="60"/>
      </w:r>
      <w:r w:rsidR="00345BB8" w:rsidRPr="00345BB8">
        <w:rPr>
          <w:rFonts w:ascii="Times New Roman" w:hAnsi="Times New Roman" w:cs="Times New Roman"/>
          <w:sz w:val="24"/>
          <w:szCs w:val="24"/>
        </w:rPr>
        <w:t xml:space="preserve"> ruling has given rise to a paradox</w:t>
      </w:r>
      <w:r w:rsidR="005D15EE">
        <w:rPr>
          <w:rFonts w:ascii="Times New Roman" w:hAnsi="Times New Roman" w:cs="Times New Roman"/>
          <w:sz w:val="24"/>
          <w:szCs w:val="24"/>
        </w:rPr>
        <w:t>,</w:t>
      </w:r>
      <w:r w:rsidR="00345BB8" w:rsidRPr="00345BB8">
        <w:rPr>
          <w:rStyle w:val="FootnoteReference"/>
          <w:rFonts w:ascii="Times New Roman" w:hAnsi="Times New Roman" w:cs="Times New Roman"/>
          <w:sz w:val="24"/>
          <w:szCs w:val="24"/>
        </w:rPr>
        <w:footnoteReference w:id="61"/>
      </w:r>
      <w:r w:rsidR="00345BB8" w:rsidRPr="00345BB8">
        <w:rPr>
          <w:rFonts w:ascii="Times New Roman" w:hAnsi="Times New Roman" w:cs="Times New Roman"/>
          <w:sz w:val="24"/>
          <w:szCs w:val="24"/>
        </w:rPr>
        <w:t xml:space="preserve"> because </w:t>
      </w:r>
      <w:r w:rsidR="005D15EE">
        <w:rPr>
          <w:rFonts w:ascii="Times New Roman" w:hAnsi="Times New Roman" w:cs="Times New Roman"/>
          <w:sz w:val="24"/>
          <w:szCs w:val="24"/>
        </w:rPr>
        <w:t xml:space="preserve">it means that </w:t>
      </w:r>
      <w:r w:rsidR="00345BB8" w:rsidRPr="00345BB8">
        <w:rPr>
          <w:rFonts w:ascii="Times New Roman" w:hAnsi="Times New Roman" w:cs="Times New Roman"/>
          <w:sz w:val="24"/>
          <w:szCs w:val="24"/>
        </w:rPr>
        <w:t>the maker</w:t>
      </w:r>
      <w:r w:rsidR="00345BB8" w:rsidRPr="00E206E9">
        <w:rPr>
          <w:rFonts w:ascii="Times New Roman" w:hAnsi="Times New Roman" w:cs="Times New Roman"/>
          <w:sz w:val="24"/>
          <w:szCs w:val="24"/>
        </w:rPr>
        <w:t xml:space="preserve"> of an unprotected database </w:t>
      </w:r>
      <w:r w:rsidR="005D15EE">
        <w:rPr>
          <w:rFonts w:ascii="Times New Roman" w:hAnsi="Times New Roman" w:cs="Times New Roman"/>
          <w:sz w:val="24"/>
          <w:szCs w:val="24"/>
        </w:rPr>
        <w:t xml:space="preserve">can enjoy greater </w:t>
      </w:r>
      <w:r w:rsidR="00345BB8" w:rsidRPr="00E206E9">
        <w:rPr>
          <w:rFonts w:ascii="Times New Roman" w:hAnsi="Times New Roman" w:cs="Times New Roman"/>
          <w:sz w:val="24"/>
          <w:szCs w:val="24"/>
        </w:rPr>
        <w:t xml:space="preserve">protection than </w:t>
      </w:r>
      <w:r w:rsidR="005D15EE">
        <w:rPr>
          <w:rFonts w:ascii="Times New Roman" w:hAnsi="Times New Roman" w:cs="Times New Roman"/>
          <w:sz w:val="24"/>
          <w:szCs w:val="24"/>
        </w:rPr>
        <w:t xml:space="preserve">that accorded </w:t>
      </w:r>
      <w:r w:rsidR="00345BB8" w:rsidRPr="00E206E9">
        <w:rPr>
          <w:rFonts w:ascii="Times New Roman" w:hAnsi="Times New Roman" w:cs="Times New Roman"/>
          <w:sz w:val="24"/>
          <w:szCs w:val="24"/>
        </w:rPr>
        <w:t>to the maker of a protected database. Obviously, this assumption is not absolute</w:t>
      </w:r>
      <w:r w:rsidR="00345BB8" w:rsidRPr="009A1CDC">
        <w:rPr>
          <w:rFonts w:ascii="Times New Roman" w:hAnsi="Times New Roman" w:cs="Times New Roman"/>
          <w:sz w:val="24"/>
          <w:szCs w:val="24"/>
        </w:rPr>
        <w:t xml:space="preserve">; on the contrary, it depends significantly on the bargaining power of the maker of the unprotected database. </w:t>
      </w:r>
      <w:r w:rsidR="005D15EE">
        <w:rPr>
          <w:rFonts w:ascii="Times New Roman" w:hAnsi="Times New Roman" w:cs="Times New Roman"/>
          <w:sz w:val="24"/>
          <w:szCs w:val="24"/>
        </w:rPr>
        <w:t xml:space="preserve">This </w:t>
      </w:r>
      <w:r w:rsidR="00345BB8" w:rsidRPr="009A1CDC">
        <w:rPr>
          <w:rFonts w:ascii="Times New Roman" w:hAnsi="Times New Roman" w:cs="Times New Roman"/>
          <w:sz w:val="24"/>
          <w:szCs w:val="24"/>
        </w:rPr>
        <w:t xml:space="preserve">paradox is </w:t>
      </w:r>
      <w:r w:rsidR="005D15EE">
        <w:rPr>
          <w:rFonts w:ascii="Times New Roman" w:hAnsi="Times New Roman" w:cs="Times New Roman"/>
          <w:sz w:val="24"/>
          <w:szCs w:val="24"/>
        </w:rPr>
        <w:t xml:space="preserve">therefore </w:t>
      </w:r>
      <w:r w:rsidR="00345BB8" w:rsidRPr="009A1CDC">
        <w:rPr>
          <w:rFonts w:ascii="Times New Roman" w:hAnsi="Times New Roman" w:cs="Times New Roman"/>
          <w:sz w:val="24"/>
          <w:szCs w:val="24"/>
        </w:rPr>
        <w:t xml:space="preserve">more likely to </w:t>
      </w:r>
      <w:proofErr w:type="spellStart"/>
      <w:r w:rsidR="00345BB8" w:rsidRPr="009A1CDC">
        <w:rPr>
          <w:rFonts w:ascii="Times New Roman" w:hAnsi="Times New Roman" w:cs="Times New Roman"/>
          <w:sz w:val="24"/>
          <w:szCs w:val="24"/>
        </w:rPr>
        <w:t>favo</w:t>
      </w:r>
      <w:r w:rsidR="005D15EE">
        <w:rPr>
          <w:rFonts w:ascii="Times New Roman" w:hAnsi="Times New Roman" w:cs="Times New Roman"/>
          <w:sz w:val="24"/>
          <w:szCs w:val="24"/>
        </w:rPr>
        <w:t>u</w:t>
      </w:r>
      <w:r w:rsidR="00345BB8" w:rsidRPr="009A1CDC">
        <w:rPr>
          <w:rFonts w:ascii="Times New Roman" w:hAnsi="Times New Roman" w:cs="Times New Roman"/>
          <w:sz w:val="24"/>
          <w:szCs w:val="24"/>
        </w:rPr>
        <w:t>r</w:t>
      </w:r>
      <w:proofErr w:type="spellEnd"/>
      <w:r w:rsidR="00345BB8" w:rsidRPr="009A1CDC">
        <w:rPr>
          <w:rFonts w:ascii="Times New Roman" w:hAnsi="Times New Roman" w:cs="Times New Roman"/>
          <w:sz w:val="24"/>
          <w:szCs w:val="24"/>
        </w:rPr>
        <w:t xml:space="preserve"> big players, with all the </w:t>
      </w:r>
      <w:r w:rsidR="005D15EE">
        <w:rPr>
          <w:rFonts w:ascii="Times New Roman" w:hAnsi="Times New Roman" w:cs="Times New Roman"/>
          <w:sz w:val="24"/>
          <w:szCs w:val="24"/>
        </w:rPr>
        <w:t xml:space="preserve">attendant </w:t>
      </w:r>
      <w:r w:rsidR="00345BB8" w:rsidRPr="009A1CDC">
        <w:rPr>
          <w:rFonts w:ascii="Times New Roman" w:hAnsi="Times New Roman" w:cs="Times New Roman"/>
          <w:sz w:val="24"/>
          <w:szCs w:val="24"/>
        </w:rPr>
        <w:t>consequences.</w:t>
      </w:r>
    </w:p>
    <w:p w14:paraId="4E37EE2D" w14:textId="7E169A25" w:rsidR="00345BB8" w:rsidRPr="009A1CDC" w:rsidRDefault="00345BB8" w:rsidP="00345BB8">
      <w:pPr>
        <w:spacing w:after="0" w:line="240" w:lineRule="auto"/>
        <w:jc w:val="both"/>
        <w:rPr>
          <w:rFonts w:ascii="Times New Roman" w:hAnsi="Times New Roman" w:cs="Times New Roman"/>
          <w:sz w:val="24"/>
          <w:szCs w:val="24"/>
        </w:rPr>
      </w:pPr>
      <w:r w:rsidRPr="009A1CDC">
        <w:rPr>
          <w:rFonts w:ascii="Times New Roman" w:hAnsi="Times New Roman" w:cs="Times New Roman"/>
          <w:sz w:val="24"/>
          <w:szCs w:val="24"/>
        </w:rPr>
        <w:t xml:space="preserve"> </w:t>
      </w:r>
    </w:p>
    <w:p w14:paraId="1C8E0391" w14:textId="23499401" w:rsidR="00734021" w:rsidRPr="00E206E9" w:rsidRDefault="00345BB8" w:rsidP="00345BB8">
      <w:pPr>
        <w:pStyle w:val="Titoloperindice"/>
        <w:rPr>
          <w:b w:val="0"/>
        </w:rPr>
      </w:pPr>
      <w:r w:rsidRPr="006F2378">
        <w:rPr>
          <w:b w:val="0"/>
        </w:rPr>
        <w:t xml:space="preserve">Certainly, it is true that </w:t>
      </w:r>
      <w:r w:rsidR="005D15EE">
        <w:rPr>
          <w:b w:val="0"/>
        </w:rPr>
        <w:t>“</w:t>
      </w:r>
      <w:r w:rsidRPr="006F2378">
        <w:rPr>
          <w:b w:val="0"/>
          <w:i/>
        </w:rPr>
        <w:t>the significance of the decision probably depends on how far a particular country’s law treat</w:t>
      </w:r>
      <w:r w:rsidR="005D15EE">
        <w:rPr>
          <w:b w:val="0"/>
          <w:i/>
        </w:rPr>
        <w:t>s</w:t>
      </w:r>
      <w:r w:rsidRPr="006F2378">
        <w:rPr>
          <w:b w:val="0"/>
          <w:i/>
        </w:rPr>
        <w:t xml:space="preserve"> the contractual terms imposed by the website owner as binding on users</w:t>
      </w:r>
      <w:r w:rsidR="005D15EE">
        <w:rPr>
          <w:b w:val="0"/>
        </w:rPr>
        <w:t>”</w:t>
      </w:r>
      <w:r w:rsidR="003E5234">
        <w:rPr>
          <w:b w:val="0"/>
        </w:rPr>
        <w:t>.</w:t>
      </w:r>
      <w:r w:rsidR="00E206E9">
        <w:rPr>
          <w:rStyle w:val="FootnoteReference"/>
          <w:b w:val="0"/>
        </w:rPr>
        <w:footnoteReference w:id="62"/>
      </w:r>
      <w:r w:rsidRPr="006F2378">
        <w:rPr>
          <w:b w:val="0"/>
        </w:rPr>
        <w:t xml:space="preserve"> </w:t>
      </w:r>
      <w:r w:rsidR="003E5234">
        <w:rPr>
          <w:b w:val="0"/>
        </w:rPr>
        <w:t>However</w:t>
      </w:r>
      <w:r w:rsidRPr="006F2378">
        <w:rPr>
          <w:b w:val="0"/>
        </w:rPr>
        <w:t xml:space="preserve">, the </w:t>
      </w:r>
      <w:r w:rsidR="003E5234">
        <w:rPr>
          <w:b w:val="0"/>
        </w:rPr>
        <w:t xml:space="preserve">paradoxical </w:t>
      </w:r>
      <w:r w:rsidRPr="006F2378">
        <w:rPr>
          <w:b w:val="0"/>
        </w:rPr>
        <w:t>risk of overprotection of unprotected database is real</w:t>
      </w:r>
      <w:r w:rsidR="009A1CDC">
        <w:rPr>
          <w:b w:val="0"/>
        </w:rPr>
        <w:t>.</w:t>
      </w:r>
      <w:r w:rsidRPr="006F2378">
        <w:rPr>
          <w:rStyle w:val="FootnoteReference"/>
          <w:b w:val="0"/>
        </w:rPr>
        <w:footnoteReference w:id="63"/>
      </w:r>
      <w:r w:rsidR="00CD6213" w:rsidRPr="00345BB8">
        <w:rPr>
          <w:b w:val="0"/>
        </w:rPr>
        <w:t xml:space="preserve"> </w:t>
      </w:r>
    </w:p>
    <w:p w14:paraId="0F2B8A40" w14:textId="77777777" w:rsidR="00734021" w:rsidRDefault="00734021" w:rsidP="00734021">
      <w:pPr>
        <w:pStyle w:val="Titoloperindice"/>
      </w:pPr>
    </w:p>
    <w:p w14:paraId="7C7D1E74" w14:textId="4D448E2D" w:rsidR="005C279A" w:rsidRDefault="007F16A9" w:rsidP="00571899">
      <w:pPr>
        <w:pStyle w:val="Titoloperindice"/>
        <w:numPr>
          <w:ilvl w:val="0"/>
          <w:numId w:val="2"/>
        </w:numPr>
      </w:pPr>
      <w:r>
        <w:lastRenderedPageBreak/>
        <w:t>A</w:t>
      </w:r>
      <w:r w:rsidR="00DC2150">
        <w:t>pplication of</w:t>
      </w:r>
      <w:r w:rsidR="005C279A">
        <w:t xml:space="preserve"> </w:t>
      </w:r>
      <w:r w:rsidR="005E028F">
        <w:t xml:space="preserve">the </w:t>
      </w:r>
      <w:r w:rsidR="005C279A">
        <w:t>requirements to AI-generated databases</w:t>
      </w:r>
    </w:p>
    <w:p w14:paraId="0EE653A8" w14:textId="77777777" w:rsidR="00B507FF" w:rsidRDefault="00B507FF" w:rsidP="00B507FF">
      <w:pPr>
        <w:spacing w:after="0" w:line="240" w:lineRule="auto"/>
        <w:jc w:val="both"/>
        <w:rPr>
          <w:rFonts w:ascii="Times New Roman" w:hAnsi="Times New Roman" w:cs="Times New Roman"/>
          <w:b/>
          <w:sz w:val="24"/>
          <w:szCs w:val="24"/>
        </w:rPr>
      </w:pPr>
    </w:p>
    <w:p w14:paraId="52CECED1" w14:textId="5A0F44BD" w:rsidR="00B507FF" w:rsidRDefault="00B507FF" w:rsidP="00B507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Keeping in mind the</w:t>
      </w:r>
      <w:r w:rsidR="005E691F">
        <w:rPr>
          <w:rFonts w:ascii="Times New Roman" w:hAnsi="Times New Roman" w:cs="Times New Roman"/>
          <w:sz w:val="24"/>
          <w:szCs w:val="24"/>
        </w:rPr>
        <w:t xml:space="preserve"> construction </w:t>
      </w:r>
      <w:r>
        <w:rPr>
          <w:rFonts w:ascii="Times New Roman" w:hAnsi="Times New Roman" w:cs="Times New Roman"/>
          <w:sz w:val="24"/>
          <w:szCs w:val="24"/>
        </w:rPr>
        <w:t xml:space="preserve">of the </w:t>
      </w:r>
      <w:r w:rsidR="00B66315">
        <w:rPr>
          <w:rFonts w:ascii="Times New Roman" w:hAnsi="Times New Roman" w:cs="Times New Roman"/>
          <w:sz w:val="24"/>
          <w:szCs w:val="24"/>
        </w:rPr>
        <w:t>above-</w:t>
      </w:r>
      <w:r w:rsidR="00314426">
        <w:rPr>
          <w:rFonts w:ascii="Times New Roman" w:hAnsi="Times New Roman" w:cs="Times New Roman"/>
          <w:sz w:val="24"/>
          <w:szCs w:val="24"/>
        </w:rPr>
        <w:t xml:space="preserve">mentioned </w:t>
      </w:r>
      <w:r>
        <w:rPr>
          <w:rFonts w:ascii="Times New Roman" w:hAnsi="Times New Roman" w:cs="Times New Roman"/>
          <w:sz w:val="24"/>
          <w:szCs w:val="24"/>
        </w:rPr>
        <w:t xml:space="preserve">requirements, it is </w:t>
      </w:r>
      <w:r w:rsidR="001D2E71">
        <w:rPr>
          <w:rFonts w:ascii="Times New Roman" w:hAnsi="Times New Roman" w:cs="Times New Roman"/>
          <w:sz w:val="24"/>
          <w:szCs w:val="24"/>
        </w:rPr>
        <w:t xml:space="preserve">now </w:t>
      </w:r>
      <w:r>
        <w:rPr>
          <w:rFonts w:ascii="Times New Roman" w:hAnsi="Times New Roman" w:cs="Times New Roman"/>
          <w:sz w:val="24"/>
          <w:szCs w:val="24"/>
        </w:rPr>
        <w:t>possible to assess whether the European Commission</w:t>
      </w:r>
      <w:r w:rsidR="001D2E71">
        <w:rPr>
          <w:rFonts w:ascii="Times New Roman" w:hAnsi="Times New Roman" w:cs="Times New Roman"/>
          <w:sz w:val="24"/>
          <w:szCs w:val="24"/>
        </w:rPr>
        <w:t>’s</w:t>
      </w:r>
      <w:r w:rsidR="000A080D">
        <w:rPr>
          <w:rFonts w:ascii="Times New Roman" w:hAnsi="Times New Roman" w:cs="Times New Roman"/>
          <w:sz w:val="24"/>
          <w:szCs w:val="24"/>
        </w:rPr>
        <w:t xml:space="preserve"> exclusion of AI</w:t>
      </w:r>
      <w:r w:rsidR="00B66315">
        <w:rPr>
          <w:rFonts w:ascii="Times New Roman" w:hAnsi="Times New Roman" w:cs="Times New Roman"/>
          <w:sz w:val="24"/>
          <w:szCs w:val="24"/>
        </w:rPr>
        <w:t>-generated</w:t>
      </w:r>
      <w:r w:rsidR="000A080D">
        <w:rPr>
          <w:rFonts w:ascii="Times New Roman" w:hAnsi="Times New Roman" w:cs="Times New Roman"/>
          <w:sz w:val="24"/>
          <w:szCs w:val="24"/>
        </w:rPr>
        <w:t xml:space="preserve"> data</w:t>
      </w:r>
      <w:r w:rsidR="00B66315">
        <w:rPr>
          <w:rFonts w:ascii="Times New Roman" w:hAnsi="Times New Roman" w:cs="Times New Roman"/>
          <w:sz w:val="24"/>
          <w:szCs w:val="24"/>
        </w:rPr>
        <w:t>bases</w:t>
      </w:r>
      <w:r w:rsidR="000A080D">
        <w:rPr>
          <w:rFonts w:ascii="Times New Roman" w:hAnsi="Times New Roman" w:cs="Times New Roman"/>
          <w:sz w:val="24"/>
          <w:szCs w:val="24"/>
        </w:rPr>
        <w:t xml:space="preserve"> from the</w:t>
      </w:r>
      <w:r w:rsidR="00B66315">
        <w:rPr>
          <w:rFonts w:ascii="Times New Roman" w:hAnsi="Times New Roman" w:cs="Times New Roman"/>
          <w:sz w:val="24"/>
          <w:szCs w:val="24"/>
        </w:rPr>
        <w:t xml:space="preserve"> scope of the</w:t>
      </w:r>
      <w:r w:rsidR="000A080D">
        <w:rPr>
          <w:rFonts w:ascii="Times New Roman" w:hAnsi="Times New Roman" w:cs="Times New Roman"/>
          <w:sz w:val="24"/>
          <w:szCs w:val="24"/>
        </w:rPr>
        <w:t xml:space="preserve"> sui generis right is</w:t>
      </w:r>
      <w:r>
        <w:rPr>
          <w:rFonts w:ascii="Times New Roman" w:hAnsi="Times New Roman" w:cs="Times New Roman"/>
          <w:sz w:val="24"/>
          <w:szCs w:val="24"/>
        </w:rPr>
        <w:t xml:space="preserve"> correct</w:t>
      </w:r>
      <w:r w:rsidR="002C2C66">
        <w:rPr>
          <w:rFonts w:ascii="Times New Roman" w:hAnsi="Times New Roman" w:cs="Times New Roman"/>
          <w:sz w:val="24"/>
          <w:szCs w:val="24"/>
        </w:rPr>
        <w:t xml:space="preserve"> or not.</w:t>
      </w:r>
    </w:p>
    <w:p w14:paraId="35600C31" w14:textId="77777777" w:rsidR="001D2E71" w:rsidRDefault="001D2E71" w:rsidP="00B507FF">
      <w:pPr>
        <w:spacing w:after="0" w:line="240" w:lineRule="auto"/>
        <w:jc w:val="both"/>
        <w:rPr>
          <w:rFonts w:ascii="Times New Roman" w:hAnsi="Times New Roman" w:cs="Times New Roman"/>
          <w:sz w:val="24"/>
          <w:szCs w:val="24"/>
        </w:rPr>
      </w:pPr>
    </w:p>
    <w:p w14:paraId="31D0613C" w14:textId="75E0F911" w:rsidR="002C2C66" w:rsidRDefault="002C2C66"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247C7">
        <w:rPr>
          <w:rFonts w:ascii="Times New Roman" w:hAnsi="Times New Roman" w:cs="Times New Roman"/>
          <w:sz w:val="24"/>
          <w:szCs w:val="24"/>
        </w:rPr>
        <w:t xml:space="preserve">ccording to </w:t>
      </w:r>
      <w:r w:rsidR="00F247C7" w:rsidRPr="005E691F">
        <w:rPr>
          <w:rFonts w:ascii="Times New Roman" w:hAnsi="Times New Roman" w:cs="Times New Roman"/>
          <w:sz w:val="24"/>
          <w:szCs w:val="24"/>
        </w:rPr>
        <w:t xml:space="preserve">the European Commission, one of the main reasons why the </w:t>
      </w:r>
      <w:r w:rsidR="00F247C7" w:rsidRPr="00F759E2">
        <w:rPr>
          <w:rFonts w:ascii="Times New Roman" w:hAnsi="Times New Roman" w:cs="Times New Roman"/>
          <w:sz w:val="24"/>
          <w:szCs w:val="24"/>
        </w:rPr>
        <w:t>sui generis</w:t>
      </w:r>
      <w:r w:rsidR="00F247C7" w:rsidRPr="005E691F">
        <w:rPr>
          <w:rFonts w:ascii="Times New Roman" w:hAnsi="Times New Roman" w:cs="Times New Roman"/>
          <w:i/>
          <w:sz w:val="24"/>
          <w:szCs w:val="24"/>
        </w:rPr>
        <w:t xml:space="preserve"> </w:t>
      </w:r>
      <w:r w:rsidR="00F247C7" w:rsidRPr="005E691F">
        <w:rPr>
          <w:rFonts w:ascii="Times New Roman" w:hAnsi="Times New Roman" w:cs="Times New Roman"/>
          <w:sz w:val="24"/>
          <w:szCs w:val="24"/>
        </w:rPr>
        <w:t xml:space="preserve">right </w:t>
      </w:r>
      <w:r>
        <w:rPr>
          <w:rFonts w:ascii="Times New Roman" w:hAnsi="Times New Roman" w:cs="Times New Roman"/>
          <w:sz w:val="24"/>
          <w:szCs w:val="24"/>
        </w:rPr>
        <w:t>does</w:t>
      </w:r>
      <w:r w:rsidR="000A080D">
        <w:rPr>
          <w:rFonts w:ascii="Times New Roman" w:hAnsi="Times New Roman" w:cs="Times New Roman"/>
          <w:sz w:val="24"/>
          <w:szCs w:val="24"/>
        </w:rPr>
        <w:t xml:space="preserve"> not fit</w:t>
      </w:r>
      <w:r w:rsidR="00F247C7" w:rsidRPr="005E691F">
        <w:rPr>
          <w:rFonts w:ascii="Times New Roman" w:hAnsi="Times New Roman" w:cs="Times New Roman"/>
          <w:sz w:val="24"/>
          <w:szCs w:val="24"/>
        </w:rPr>
        <w:t xml:space="preserve"> AI-generated databases is the</w:t>
      </w:r>
      <w:r w:rsidR="00F7560A" w:rsidRPr="005E691F">
        <w:rPr>
          <w:rFonts w:ascii="Times New Roman" w:hAnsi="Times New Roman" w:cs="Times New Roman"/>
          <w:sz w:val="24"/>
          <w:szCs w:val="24"/>
        </w:rPr>
        <w:t xml:space="preserve"> so-called spin-off theory</w:t>
      </w:r>
      <w:r w:rsidR="001D2E71">
        <w:rPr>
          <w:rFonts w:ascii="Times New Roman" w:hAnsi="Times New Roman" w:cs="Times New Roman"/>
          <w:sz w:val="24"/>
          <w:szCs w:val="24"/>
        </w:rPr>
        <w:t>.</w:t>
      </w:r>
      <w:r w:rsidR="005E691F">
        <w:rPr>
          <w:rStyle w:val="FootnoteReference"/>
          <w:rFonts w:ascii="Times New Roman" w:hAnsi="Times New Roman" w:cs="Times New Roman"/>
          <w:sz w:val="24"/>
          <w:szCs w:val="24"/>
        </w:rPr>
        <w:footnoteReference w:id="64"/>
      </w:r>
      <w:r w:rsidR="00F7560A">
        <w:rPr>
          <w:rFonts w:ascii="Times New Roman" w:hAnsi="Times New Roman" w:cs="Times New Roman"/>
          <w:sz w:val="24"/>
          <w:szCs w:val="24"/>
        </w:rPr>
        <w:t xml:space="preserve"> According to this theory, databases that are by-products </w:t>
      </w:r>
      <w:r w:rsidR="00BA4B36">
        <w:rPr>
          <w:rFonts w:ascii="Times New Roman" w:hAnsi="Times New Roman" w:cs="Times New Roman"/>
          <w:sz w:val="24"/>
          <w:szCs w:val="24"/>
        </w:rPr>
        <w:t>of the main activity</w:t>
      </w:r>
      <w:r w:rsidR="00622702">
        <w:rPr>
          <w:rFonts w:ascii="Times New Roman" w:hAnsi="Times New Roman" w:cs="Times New Roman"/>
          <w:sz w:val="24"/>
          <w:szCs w:val="24"/>
        </w:rPr>
        <w:t xml:space="preserve"> of the maker</w:t>
      </w:r>
      <w:r w:rsidR="00BA4B36">
        <w:rPr>
          <w:rFonts w:ascii="Times New Roman" w:hAnsi="Times New Roman" w:cs="Times New Roman"/>
          <w:sz w:val="24"/>
          <w:szCs w:val="24"/>
        </w:rPr>
        <w:t xml:space="preserve"> </w:t>
      </w:r>
      <w:r w:rsidR="00F7560A">
        <w:rPr>
          <w:rFonts w:ascii="Times New Roman" w:hAnsi="Times New Roman" w:cs="Times New Roman"/>
          <w:sz w:val="24"/>
          <w:szCs w:val="24"/>
        </w:rPr>
        <w:t xml:space="preserve">should not </w:t>
      </w:r>
      <w:r w:rsidR="001D2E71">
        <w:rPr>
          <w:rFonts w:ascii="Times New Roman" w:hAnsi="Times New Roman" w:cs="Times New Roman"/>
          <w:sz w:val="24"/>
          <w:szCs w:val="24"/>
        </w:rPr>
        <w:t>enjoy</w:t>
      </w:r>
      <w:r w:rsidR="00F7560A">
        <w:rPr>
          <w:rFonts w:ascii="Times New Roman" w:hAnsi="Times New Roman" w:cs="Times New Roman"/>
          <w:sz w:val="24"/>
          <w:szCs w:val="24"/>
        </w:rPr>
        <w:t xml:space="preserve"> protection under </w:t>
      </w:r>
      <w:r w:rsidR="00756719">
        <w:rPr>
          <w:rFonts w:ascii="Times New Roman" w:hAnsi="Times New Roman" w:cs="Times New Roman"/>
          <w:sz w:val="24"/>
          <w:szCs w:val="24"/>
        </w:rPr>
        <w:t>A</w:t>
      </w:r>
      <w:r w:rsidR="00F7560A">
        <w:rPr>
          <w:rFonts w:ascii="Times New Roman" w:hAnsi="Times New Roman" w:cs="Times New Roman"/>
          <w:sz w:val="24"/>
          <w:szCs w:val="24"/>
        </w:rPr>
        <w:t>rticle 7 of the D</w:t>
      </w:r>
      <w:r w:rsidR="004A3CB5">
        <w:rPr>
          <w:rFonts w:ascii="Times New Roman" w:hAnsi="Times New Roman" w:cs="Times New Roman"/>
          <w:sz w:val="24"/>
          <w:szCs w:val="24"/>
        </w:rPr>
        <w:t>irective</w:t>
      </w:r>
      <w:r w:rsidR="001D2E71">
        <w:rPr>
          <w:rFonts w:ascii="Times New Roman" w:hAnsi="Times New Roman" w:cs="Times New Roman"/>
          <w:sz w:val="24"/>
          <w:szCs w:val="24"/>
        </w:rPr>
        <w:t>.</w:t>
      </w:r>
      <w:r w:rsidR="00F7560A">
        <w:rPr>
          <w:rStyle w:val="FootnoteReference"/>
          <w:rFonts w:ascii="Times New Roman" w:hAnsi="Times New Roman" w:cs="Times New Roman"/>
          <w:sz w:val="24"/>
          <w:szCs w:val="24"/>
        </w:rPr>
        <w:footnoteReference w:id="65"/>
      </w:r>
      <w:r w:rsidR="00F247C7">
        <w:rPr>
          <w:rFonts w:ascii="Times New Roman" w:hAnsi="Times New Roman" w:cs="Times New Roman"/>
          <w:sz w:val="24"/>
          <w:szCs w:val="24"/>
        </w:rPr>
        <w:t xml:space="preserve"> However, the European Commission</w:t>
      </w:r>
      <w:r w:rsidR="001D2E71">
        <w:rPr>
          <w:rFonts w:ascii="Times New Roman" w:hAnsi="Times New Roman" w:cs="Times New Roman"/>
          <w:sz w:val="24"/>
          <w:szCs w:val="24"/>
        </w:rPr>
        <w:t>’s conclusion</w:t>
      </w:r>
      <w:r w:rsidR="00F247C7">
        <w:rPr>
          <w:rFonts w:ascii="Times New Roman" w:hAnsi="Times New Roman" w:cs="Times New Roman"/>
          <w:sz w:val="24"/>
          <w:szCs w:val="24"/>
        </w:rPr>
        <w:t xml:space="preserve"> </w:t>
      </w:r>
      <w:r w:rsidR="00D2328A">
        <w:rPr>
          <w:rFonts w:ascii="Times New Roman" w:hAnsi="Times New Roman" w:cs="Times New Roman"/>
          <w:sz w:val="24"/>
          <w:szCs w:val="24"/>
        </w:rPr>
        <w:t xml:space="preserve">is </w:t>
      </w:r>
      <w:r w:rsidR="00F247C7">
        <w:rPr>
          <w:rFonts w:ascii="Times New Roman" w:hAnsi="Times New Roman" w:cs="Times New Roman"/>
          <w:sz w:val="24"/>
          <w:szCs w:val="24"/>
        </w:rPr>
        <w:t xml:space="preserve">not </w:t>
      </w:r>
      <w:r w:rsidR="00B338CD">
        <w:rPr>
          <w:rFonts w:ascii="Times New Roman" w:hAnsi="Times New Roman" w:cs="Times New Roman"/>
          <w:sz w:val="24"/>
          <w:szCs w:val="24"/>
        </w:rPr>
        <w:t>acceptable</w:t>
      </w:r>
      <w:r w:rsidR="00F247C7">
        <w:rPr>
          <w:rFonts w:ascii="Times New Roman" w:hAnsi="Times New Roman" w:cs="Times New Roman"/>
          <w:sz w:val="24"/>
          <w:szCs w:val="24"/>
        </w:rPr>
        <w:t xml:space="preserve"> for two main reasons.</w:t>
      </w:r>
    </w:p>
    <w:p w14:paraId="24E8EAA4" w14:textId="77777777" w:rsidR="001D2E71" w:rsidRDefault="001D2E71" w:rsidP="00271AA1">
      <w:pPr>
        <w:spacing w:after="0" w:line="240" w:lineRule="auto"/>
        <w:jc w:val="both"/>
        <w:rPr>
          <w:rFonts w:ascii="Times New Roman" w:hAnsi="Times New Roman" w:cs="Times New Roman"/>
          <w:sz w:val="24"/>
          <w:szCs w:val="24"/>
        </w:rPr>
      </w:pPr>
    </w:p>
    <w:p w14:paraId="061E6D37" w14:textId="1FFB90D6" w:rsidR="00B338CD" w:rsidRDefault="00F247C7"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w:t>
      </w:r>
      <w:r w:rsidR="001D2E71">
        <w:rPr>
          <w:rFonts w:ascii="Times New Roman" w:hAnsi="Times New Roman" w:cs="Times New Roman"/>
          <w:sz w:val="24"/>
          <w:szCs w:val="24"/>
        </w:rPr>
        <w:t>ly</w:t>
      </w:r>
      <w:r>
        <w:rPr>
          <w:rFonts w:ascii="Times New Roman" w:hAnsi="Times New Roman" w:cs="Times New Roman"/>
          <w:sz w:val="24"/>
          <w:szCs w:val="24"/>
        </w:rPr>
        <w:t>, as correctly pointed out by several commentators</w:t>
      </w:r>
      <w:r w:rsidR="001D2E71">
        <w:rPr>
          <w:rFonts w:ascii="Times New Roman" w:hAnsi="Times New Roman" w:cs="Times New Roman"/>
          <w:sz w:val="24"/>
          <w:szCs w:val="24"/>
        </w:rPr>
        <w:t>,</w:t>
      </w:r>
      <w:r w:rsidR="00230194">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the CJEU</w:t>
      </w:r>
      <w:r w:rsidR="00271AA1">
        <w:rPr>
          <w:rFonts w:ascii="Times New Roman" w:hAnsi="Times New Roman" w:cs="Times New Roman"/>
          <w:sz w:val="24"/>
          <w:szCs w:val="24"/>
        </w:rPr>
        <w:t xml:space="preserve"> rejected this theory</w:t>
      </w:r>
      <w:r w:rsidR="002C2C66">
        <w:rPr>
          <w:rFonts w:ascii="Times New Roman" w:hAnsi="Times New Roman" w:cs="Times New Roman"/>
          <w:sz w:val="24"/>
          <w:szCs w:val="24"/>
        </w:rPr>
        <w:t>,</w:t>
      </w:r>
      <w:r w:rsidR="00622702">
        <w:rPr>
          <w:rFonts w:ascii="Times New Roman" w:hAnsi="Times New Roman" w:cs="Times New Roman"/>
          <w:sz w:val="24"/>
          <w:szCs w:val="24"/>
        </w:rPr>
        <w:t xml:space="preserve"> clearly stating that</w:t>
      </w:r>
      <w:r w:rsidR="00B66315">
        <w:rPr>
          <w:rFonts w:ascii="Times New Roman" w:hAnsi="Times New Roman" w:cs="Times New Roman"/>
          <w:sz w:val="24"/>
          <w:szCs w:val="24"/>
        </w:rPr>
        <w:t xml:space="preserve"> it</w:t>
      </w:r>
      <w:r w:rsidR="00622702">
        <w:rPr>
          <w:rFonts w:ascii="Times New Roman" w:hAnsi="Times New Roman" w:cs="Times New Roman"/>
          <w:sz w:val="24"/>
          <w:szCs w:val="24"/>
        </w:rPr>
        <w:t xml:space="preserve"> is not the link between the database and the principal activity of the maker </w:t>
      </w:r>
      <w:r w:rsidR="001D2E71">
        <w:rPr>
          <w:rFonts w:ascii="Times New Roman" w:hAnsi="Times New Roman" w:cs="Times New Roman"/>
          <w:sz w:val="24"/>
          <w:szCs w:val="24"/>
        </w:rPr>
        <w:t xml:space="preserve">that precludes </w:t>
      </w:r>
      <w:r w:rsidR="00E32D67">
        <w:rPr>
          <w:rFonts w:ascii="Times New Roman" w:hAnsi="Times New Roman" w:cs="Times New Roman"/>
          <w:sz w:val="24"/>
          <w:szCs w:val="24"/>
        </w:rPr>
        <w:t>protection</w:t>
      </w:r>
      <w:r w:rsidR="001D2E71">
        <w:rPr>
          <w:rFonts w:ascii="Times New Roman" w:hAnsi="Times New Roman" w:cs="Times New Roman"/>
          <w:sz w:val="24"/>
          <w:szCs w:val="24"/>
        </w:rPr>
        <w:t>,</w:t>
      </w:r>
      <w:r w:rsidR="00E32D67">
        <w:rPr>
          <w:rFonts w:ascii="Times New Roman" w:hAnsi="Times New Roman" w:cs="Times New Roman"/>
          <w:sz w:val="24"/>
          <w:szCs w:val="24"/>
        </w:rPr>
        <w:t xml:space="preserve"> but the </w:t>
      </w:r>
      <w:r w:rsidR="007F16A9">
        <w:rPr>
          <w:rFonts w:ascii="Times New Roman" w:hAnsi="Times New Roman" w:cs="Times New Roman"/>
          <w:sz w:val="24"/>
          <w:szCs w:val="24"/>
        </w:rPr>
        <w:t>absence</w:t>
      </w:r>
      <w:r w:rsidR="00E32D67">
        <w:rPr>
          <w:rFonts w:ascii="Times New Roman" w:hAnsi="Times New Roman" w:cs="Times New Roman"/>
          <w:sz w:val="24"/>
          <w:szCs w:val="24"/>
        </w:rPr>
        <w:t xml:space="preserve"> of the requi</w:t>
      </w:r>
      <w:r w:rsidR="001D2E71">
        <w:rPr>
          <w:rFonts w:ascii="Times New Roman" w:hAnsi="Times New Roman" w:cs="Times New Roman"/>
          <w:sz w:val="24"/>
          <w:szCs w:val="24"/>
        </w:rPr>
        <w:t>rements</w:t>
      </w:r>
      <w:r w:rsidR="00E32D67">
        <w:rPr>
          <w:rFonts w:ascii="Times New Roman" w:hAnsi="Times New Roman" w:cs="Times New Roman"/>
          <w:sz w:val="24"/>
          <w:szCs w:val="24"/>
        </w:rPr>
        <w:t xml:space="preserve"> set </w:t>
      </w:r>
      <w:r w:rsidR="001D2E71">
        <w:rPr>
          <w:rFonts w:ascii="Times New Roman" w:hAnsi="Times New Roman" w:cs="Times New Roman"/>
          <w:sz w:val="24"/>
          <w:szCs w:val="24"/>
        </w:rPr>
        <w:t>by</w:t>
      </w:r>
      <w:r w:rsidR="00E32D67">
        <w:rPr>
          <w:rFonts w:ascii="Times New Roman" w:hAnsi="Times New Roman" w:cs="Times New Roman"/>
          <w:sz w:val="24"/>
          <w:szCs w:val="24"/>
        </w:rPr>
        <w:t xml:space="preserve"> Article 7 of the Directive.</w:t>
      </w:r>
      <w:r w:rsidR="00271AA1">
        <w:rPr>
          <w:rStyle w:val="FootnoteReference"/>
          <w:rFonts w:ascii="Times New Roman" w:hAnsi="Times New Roman" w:cs="Times New Roman"/>
          <w:sz w:val="24"/>
          <w:szCs w:val="24"/>
        </w:rPr>
        <w:footnoteReference w:id="67"/>
      </w:r>
      <w:r w:rsidR="00622702">
        <w:rPr>
          <w:rFonts w:ascii="Times New Roman" w:hAnsi="Times New Roman" w:cs="Times New Roman"/>
          <w:sz w:val="24"/>
          <w:szCs w:val="24"/>
        </w:rPr>
        <w:t xml:space="preserve"> </w:t>
      </w:r>
    </w:p>
    <w:p w14:paraId="0ACBE073" w14:textId="77777777" w:rsidR="001D2E71" w:rsidRDefault="001D2E71" w:rsidP="00271AA1">
      <w:pPr>
        <w:spacing w:after="0" w:line="240" w:lineRule="auto"/>
        <w:jc w:val="both"/>
        <w:rPr>
          <w:rFonts w:ascii="Times New Roman" w:hAnsi="Times New Roman" w:cs="Times New Roman"/>
          <w:sz w:val="24"/>
          <w:szCs w:val="24"/>
        </w:rPr>
      </w:pPr>
    </w:p>
    <w:p w14:paraId="58507C5E" w14:textId="70D92C30" w:rsidR="00B338CD" w:rsidRDefault="00B338CD"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w:t>
      </w:r>
      <w:r w:rsidR="001D2E71">
        <w:rPr>
          <w:rFonts w:ascii="Times New Roman" w:hAnsi="Times New Roman" w:cs="Times New Roman"/>
          <w:sz w:val="24"/>
          <w:szCs w:val="24"/>
        </w:rPr>
        <w:t>ly</w:t>
      </w:r>
      <w:r>
        <w:rPr>
          <w:rFonts w:ascii="Times New Roman" w:hAnsi="Times New Roman" w:cs="Times New Roman"/>
          <w:sz w:val="24"/>
          <w:szCs w:val="24"/>
        </w:rPr>
        <w:t xml:space="preserve">, the European Commission’s position does not </w:t>
      </w:r>
      <w:r w:rsidR="001D2E71">
        <w:rPr>
          <w:rFonts w:ascii="Times New Roman" w:hAnsi="Times New Roman" w:cs="Times New Roman"/>
          <w:sz w:val="24"/>
          <w:szCs w:val="24"/>
        </w:rPr>
        <w:t xml:space="preserve">take account of the fact </w:t>
      </w:r>
      <w:r>
        <w:rPr>
          <w:rFonts w:ascii="Times New Roman" w:hAnsi="Times New Roman" w:cs="Times New Roman"/>
          <w:sz w:val="24"/>
          <w:szCs w:val="24"/>
        </w:rPr>
        <w:t xml:space="preserve">that, even </w:t>
      </w:r>
      <w:r w:rsidR="00D2328A">
        <w:rPr>
          <w:rFonts w:ascii="Times New Roman" w:hAnsi="Times New Roman" w:cs="Times New Roman"/>
          <w:sz w:val="24"/>
          <w:szCs w:val="24"/>
        </w:rPr>
        <w:t xml:space="preserve">if </w:t>
      </w:r>
      <w:r>
        <w:rPr>
          <w:rFonts w:ascii="Times New Roman" w:hAnsi="Times New Roman" w:cs="Times New Roman"/>
          <w:sz w:val="24"/>
          <w:szCs w:val="24"/>
        </w:rPr>
        <w:t>application of the theory at issue</w:t>
      </w:r>
      <w:r w:rsidR="00D2328A">
        <w:rPr>
          <w:rFonts w:ascii="Times New Roman" w:hAnsi="Times New Roman" w:cs="Times New Roman"/>
          <w:sz w:val="24"/>
          <w:szCs w:val="24"/>
        </w:rPr>
        <w:t xml:space="preserve"> is the favored option</w:t>
      </w:r>
      <w:r>
        <w:rPr>
          <w:rFonts w:ascii="Times New Roman" w:hAnsi="Times New Roman" w:cs="Times New Roman"/>
          <w:sz w:val="24"/>
          <w:szCs w:val="24"/>
        </w:rPr>
        <w:t xml:space="preserve">, there might be companies </w:t>
      </w:r>
      <w:r w:rsidR="000A080D">
        <w:rPr>
          <w:rFonts w:ascii="Times New Roman" w:hAnsi="Times New Roman" w:cs="Times New Roman"/>
          <w:sz w:val="24"/>
          <w:szCs w:val="24"/>
        </w:rPr>
        <w:t xml:space="preserve">whose </w:t>
      </w:r>
      <w:r w:rsidR="00EE0AB7">
        <w:rPr>
          <w:rFonts w:ascii="Times New Roman" w:hAnsi="Times New Roman" w:cs="Times New Roman"/>
          <w:sz w:val="24"/>
          <w:szCs w:val="24"/>
        </w:rPr>
        <w:t>main activity is to create and market AI-generated</w:t>
      </w:r>
      <w:r>
        <w:rPr>
          <w:rFonts w:ascii="Times New Roman" w:hAnsi="Times New Roman" w:cs="Times New Roman"/>
          <w:sz w:val="24"/>
          <w:szCs w:val="24"/>
        </w:rPr>
        <w:t xml:space="preserve"> databases</w:t>
      </w:r>
      <w:r w:rsidR="001D2E71">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r w:rsidR="00986AF5">
        <w:rPr>
          <w:rFonts w:ascii="Times New Roman" w:hAnsi="Times New Roman" w:cs="Times New Roman"/>
          <w:sz w:val="24"/>
          <w:szCs w:val="24"/>
        </w:rPr>
        <w:t xml:space="preserve"> Indeed, the spin-off theory seems to focus on the link between the database and the main activity of its maker</w:t>
      </w:r>
      <w:r w:rsidR="001D2E71">
        <w:rPr>
          <w:rFonts w:ascii="Times New Roman" w:hAnsi="Times New Roman" w:cs="Times New Roman"/>
          <w:sz w:val="24"/>
          <w:szCs w:val="24"/>
        </w:rPr>
        <w:t xml:space="preserve">, </w:t>
      </w:r>
      <w:r w:rsidR="00986AF5">
        <w:rPr>
          <w:rFonts w:ascii="Times New Roman" w:hAnsi="Times New Roman" w:cs="Times New Roman"/>
          <w:sz w:val="24"/>
          <w:szCs w:val="24"/>
        </w:rPr>
        <w:t xml:space="preserve">not on the way in which the data is collected, verified or presented. Therefore, if the above-mentioned activities comply with the requirements for protection, in a scenario </w:t>
      </w:r>
      <w:r w:rsidR="00A07660">
        <w:rPr>
          <w:rFonts w:ascii="Times New Roman" w:hAnsi="Times New Roman" w:cs="Times New Roman"/>
          <w:sz w:val="24"/>
          <w:szCs w:val="24"/>
        </w:rPr>
        <w:t xml:space="preserve">of this kind </w:t>
      </w:r>
      <w:r w:rsidR="00986AF5">
        <w:rPr>
          <w:rFonts w:ascii="Times New Roman" w:hAnsi="Times New Roman" w:cs="Times New Roman"/>
          <w:sz w:val="24"/>
          <w:szCs w:val="24"/>
        </w:rPr>
        <w:t>it is not possible to exclude the sui generis right.</w:t>
      </w:r>
    </w:p>
    <w:p w14:paraId="203279AD" w14:textId="77777777" w:rsidR="001D2E71" w:rsidRDefault="001D2E71" w:rsidP="00271AA1">
      <w:pPr>
        <w:spacing w:after="0" w:line="240" w:lineRule="auto"/>
        <w:jc w:val="both"/>
        <w:rPr>
          <w:rFonts w:ascii="Times New Roman" w:hAnsi="Times New Roman" w:cs="Times New Roman"/>
          <w:sz w:val="24"/>
          <w:szCs w:val="24"/>
        </w:rPr>
      </w:pPr>
    </w:p>
    <w:p w14:paraId="479110F9" w14:textId="1529B46E" w:rsidR="005D64DA" w:rsidRDefault="001D2E71"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Having r</w:t>
      </w:r>
      <w:r w:rsidR="00B66315">
        <w:rPr>
          <w:rFonts w:ascii="Times New Roman" w:hAnsi="Times New Roman" w:cs="Times New Roman"/>
          <w:sz w:val="24"/>
          <w:szCs w:val="24"/>
        </w:rPr>
        <w:t>ejected</w:t>
      </w:r>
      <w:r w:rsidR="000A080D">
        <w:rPr>
          <w:rFonts w:ascii="Times New Roman" w:hAnsi="Times New Roman" w:cs="Times New Roman"/>
          <w:sz w:val="24"/>
          <w:szCs w:val="24"/>
        </w:rPr>
        <w:t xml:space="preserve"> the </w:t>
      </w:r>
      <w:r w:rsidR="00DC06D1">
        <w:rPr>
          <w:rFonts w:ascii="Times New Roman" w:hAnsi="Times New Roman" w:cs="Times New Roman"/>
          <w:sz w:val="24"/>
          <w:szCs w:val="24"/>
        </w:rPr>
        <w:t>spin-off theory, we conclude that the evaluation should be carried out in the light of the “substantial investment in obtaining, presenting or verifying” requi</w:t>
      </w:r>
      <w:r w:rsidR="00B66315">
        <w:rPr>
          <w:rFonts w:ascii="Times New Roman" w:hAnsi="Times New Roman" w:cs="Times New Roman"/>
          <w:sz w:val="24"/>
          <w:szCs w:val="24"/>
        </w:rPr>
        <w:t>rement</w:t>
      </w:r>
      <w:r w:rsidR="00DC06D1">
        <w:rPr>
          <w:rFonts w:ascii="Times New Roman" w:hAnsi="Times New Roman" w:cs="Times New Roman"/>
          <w:sz w:val="24"/>
          <w:szCs w:val="24"/>
        </w:rPr>
        <w:t>.</w:t>
      </w:r>
      <w:r>
        <w:rPr>
          <w:rFonts w:ascii="Times New Roman" w:hAnsi="Times New Roman" w:cs="Times New Roman"/>
          <w:sz w:val="24"/>
          <w:szCs w:val="24"/>
        </w:rPr>
        <w:t xml:space="preserve"> </w:t>
      </w:r>
      <w:r w:rsidR="00A42A71">
        <w:rPr>
          <w:rFonts w:ascii="Times New Roman" w:hAnsi="Times New Roman" w:cs="Times New Roman"/>
          <w:sz w:val="24"/>
          <w:szCs w:val="24"/>
        </w:rPr>
        <w:t>Following</w:t>
      </w:r>
      <w:r w:rsidR="005234E6">
        <w:rPr>
          <w:rFonts w:ascii="Times New Roman" w:hAnsi="Times New Roman" w:cs="Times New Roman"/>
          <w:sz w:val="24"/>
          <w:szCs w:val="24"/>
        </w:rPr>
        <w:t xml:space="preserve"> the </w:t>
      </w:r>
      <w:r>
        <w:rPr>
          <w:rFonts w:ascii="Times New Roman" w:hAnsi="Times New Roman" w:cs="Times New Roman"/>
          <w:sz w:val="24"/>
          <w:szCs w:val="24"/>
        </w:rPr>
        <w:t>two-part approach</w:t>
      </w:r>
      <w:r w:rsidR="005234E6">
        <w:rPr>
          <w:rFonts w:ascii="Times New Roman" w:hAnsi="Times New Roman" w:cs="Times New Roman"/>
          <w:sz w:val="24"/>
          <w:szCs w:val="24"/>
        </w:rPr>
        <w:t xml:space="preserve"> adopted in the previous </w:t>
      </w:r>
      <w:r w:rsidR="000A080D">
        <w:rPr>
          <w:rFonts w:ascii="Times New Roman" w:hAnsi="Times New Roman" w:cs="Times New Roman"/>
          <w:sz w:val="24"/>
          <w:szCs w:val="24"/>
        </w:rPr>
        <w:t>section</w:t>
      </w:r>
      <w:r w:rsidR="005234E6">
        <w:rPr>
          <w:rFonts w:ascii="Times New Roman" w:hAnsi="Times New Roman" w:cs="Times New Roman"/>
          <w:sz w:val="24"/>
          <w:szCs w:val="24"/>
        </w:rPr>
        <w:t xml:space="preserve">, we will </w:t>
      </w:r>
      <w:r>
        <w:rPr>
          <w:rFonts w:ascii="Times New Roman" w:hAnsi="Times New Roman" w:cs="Times New Roman"/>
          <w:sz w:val="24"/>
          <w:szCs w:val="24"/>
        </w:rPr>
        <w:t xml:space="preserve">first </w:t>
      </w:r>
      <w:r w:rsidR="005234E6">
        <w:rPr>
          <w:rFonts w:ascii="Times New Roman" w:hAnsi="Times New Roman" w:cs="Times New Roman"/>
          <w:sz w:val="24"/>
          <w:szCs w:val="24"/>
        </w:rPr>
        <w:t xml:space="preserve">examine the issues related to investment in obtaining, presenting or verifying, and then the substantiality of </w:t>
      </w:r>
      <w:r>
        <w:rPr>
          <w:rFonts w:ascii="Times New Roman" w:hAnsi="Times New Roman" w:cs="Times New Roman"/>
          <w:sz w:val="24"/>
          <w:szCs w:val="24"/>
        </w:rPr>
        <w:t>such investment</w:t>
      </w:r>
      <w:r w:rsidR="005234E6">
        <w:rPr>
          <w:rFonts w:ascii="Times New Roman" w:hAnsi="Times New Roman" w:cs="Times New Roman"/>
          <w:sz w:val="24"/>
          <w:szCs w:val="24"/>
        </w:rPr>
        <w:t>.</w:t>
      </w:r>
    </w:p>
    <w:p w14:paraId="085A4F19" w14:textId="77777777" w:rsidR="001D2E71" w:rsidRDefault="001D2E71" w:rsidP="00271AA1">
      <w:pPr>
        <w:spacing w:after="0" w:line="240" w:lineRule="auto"/>
        <w:jc w:val="both"/>
        <w:rPr>
          <w:rFonts w:ascii="Times New Roman" w:hAnsi="Times New Roman" w:cs="Times New Roman"/>
          <w:sz w:val="24"/>
          <w:szCs w:val="24"/>
        </w:rPr>
      </w:pPr>
    </w:p>
    <w:p w14:paraId="7A53258B" w14:textId="324AA092" w:rsidR="00154F34" w:rsidRDefault="005D64DA"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Regarding th</w:t>
      </w:r>
      <w:r w:rsidR="006656B0">
        <w:rPr>
          <w:rFonts w:ascii="Times New Roman" w:hAnsi="Times New Roman" w:cs="Times New Roman"/>
          <w:sz w:val="24"/>
          <w:szCs w:val="24"/>
        </w:rPr>
        <w:t xml:space="preserve">e first </w:t>
      </w:r>
      <w:r w:rsidR="007F16A9">
        <w:rPr>
          <w:rFonts w:ascii="Times New Roman" w:hAnsi="Times New Roman" w:cs="Times New Roman"/>
          <w:sz w:val="24"/>
          <w:szCs w:val="24"/>
        </w:rPr>
        <w:t>aspect</w:t>
      </w:r>
      <w:r w:rsidR="006656B0">
        <w:rPr>
          <w:rFonts w:ascii="Times New Roman" w:hAnsi="Times New Roman" w:cs="Times New Roman"/>
          <w:sz w:val="24"/>
          <w:szCs w:val="24"/>
        </w:rPr>
        <w:t xml:space="preserve">, </w:t>
      </w:r>
      <w:r w:rsidR="001D2E71">
        <w:rPr>
          <w:rFonts w:ascii="Times New Roman" w:hAnsi="Times New Roman" w:cs="Times New Roman"/>
          <w:sz w:val="24"/>
          <w:szCs w:val="24"/>
        </w:rPr>
        <w:t xml:space="preserve">we can begin by </w:t>
      </w:r>
      <w:r w:rsidR="006656B0">
        <w:rPr>
          <w:rFonts w:ascii="Times New Roman" w:hAnsi="Times New Roman" w:cs="Times New Roman"/>
          <w:sz w:val="24"/>
          <w:szCs w:val="24"/>
        </w:rPr>
        <w:t>examining</w:t>
      </w:r>
      <w:r>
        <w:rPr>
          <w:rFonts w:ascii="Times New Roman" w:hAnsi="Times New Roman" w:cs="Times New Roman"/>
          <w:sz w:val="24"/>
          <w:szCs w:val="24"/>
        </w:rPr>
        <w:t xml:space="preserve"> the case in which AI</w:t>
      </w:r>
      <w:r w:rsidR="001D2E71">
        <w:rPr>
          <w:rFonts w:ascii="Times New Roman" w:hAnsi="Times New Roman" w:cs="Times New Roman"/>
          <w:sz w:val="24"/>
          <w:szCs w:val="24"/>
        </w:rPr>
        <w:t xml:space="preserve"> </w:t>
      </w:r>
      <w:r w:rsidR="006656B0">
        <w:rPr>
          <w:rFonts w:ascii="Times New Roman" w:hAnsi="Times New Roman" w:cs="Times New Roman"/>
          <w:sz w:val="24"/>
          <w:szCs w:val="24"/>
        </w:rPr>
        <w:t>generates a database</w:t>
      </w:r>
      <w:r w:rsidR="008E764B">
        <w:rPr>
          <w:rFonts w:ascii="Times New Roman" w:hAnsi="Times New Roman" w:cs="Times New Roman"/>
          <w:sz w:val="24"/>
          <w:szCs w:val="24"/>
        </w:rPr>
        <w:t>,</w:t>
      </w:r>
      <w:r w:rsidR="006656B0">
        <w:rPr>
          <w:rFonts w:ascii="Times New Roman" w:hAnsi="Times New Roman" w:cs="Times New Roman"/>
          <w:sz w:val="24"/>
          <w:szCs w:val="24"/>
        </w:rPr>
        <w:t xml:space="preserve"> crea</w:t>
      </w:r>
      <w:r w:rsidR="00986AF5">
        <w:rPr>
          <w:rFonts w:ascii="Times New Roman" w:hAnsi="Times New Roman" w:cs="Times New Roman"/>
          <w:sz w:val="24"/>
          <w:szCs w:val="24"/>
        </w:rPr>
        <w:t>ting and collecting</w:t>
      </w:r>
      <w:r w:rsidR="008E764B">
        <w:rPr>
          <w:rFonts w:ascii="Times New Roman" w:hAnsi="Times New Roman" w:cs="Times New Roman"/>
          <w:sz w:val="24"/>
          <w:szCs w:val="24"/>
        </w:rPr>
        <w:t xml:space="preserve"> the data by processes that are i</w:t>
      </w:r>
      <w:r w:rsidR="00C02112">
        <w:rPr>
          <w:rFonts w:ascii="Times New Roman" w:hAnsi="Times New Roman" w:cs="Times New Roman"/>
          <w:sz w:val="24"/>
          <w:szCs w:val="24"/>
        </w:rPr>
        <w:t>ndistinguishable</w:t>
      </w:r>
      <w:r w:rsidR="008E764B">
        <w:rPr>
          <w:rFonts w:ascii="Times New Roman" w:hAnsi="Times New Roman" w:cs="Times New Roman"/>
          <w:sz w:val="24"/>
          <w:szCs w:val="24"/>
        </w:rPr>
        <w:t>.</w:t>
      </w:r>
      <w:r w:rsidR="006656B0">
        <w:rPr>
          <w:rFonts w:ascii="Times New Roman" w:hAnsi="Times New Roman" w:cs="Times New Roman"/>
          <w:sz w:val="24"/>
          <w:szCs w:val="24"/>
        </w:rPr>
        <w:t xml:space="preserve"> In this case, at least </w:t>
      </w:r>
      <w:r w:rsidR="006656B0">
        <w:rPr>
          <w:rFonts w:ascii="Times New Roman" w:hAnsi="Times New Roman" w:cs="Times New Roman"/>
          <w:i/>
          <w:sz w:val="24"/>
          <w:szCs w:val="24"/>
        </w:rPr>
        <w:t xml:space="preserve">de </w:t>
      </w:r>
      <w:proofErr w:type="spellStart"/>
      <w:r w:rsidR="000A080D">
        <w:rPr>
          <w:rFonts w:ascii="Times New Roman" w:hAnsi="Times New Roman" w:cs="Times New Roman"/>
          <w:i/>
          <w:sz w:val="24"/>
          <w:szCs w:val="24"/>
        </w:rPr>
        <w:t>lege</w:t>
      </w:r>
      <w:proofErr w:type="spellEnd"/>
      <w:r w:rsidR="000A080D">
        <w:rPr>
          <w:rFonts w:ascii="Times New Roman" w:hAnsi="Times New Roman" w:cs="Times New Roman"/>
          <w:i/>
          <w:sz w:val="24"/>
          <w:szCs w:val="24"/>
        </w:rPr>
        <w:t xml:space="preserve"> </w:t>
      </w:r>
      <w:proofErr w:type="spellStart"/>
      <w:r w:rsidR="000A080D">
        <w:rPr>
          <w:rFonts w:ascii="Times New Roman" w:hAnsi="Times New Roman" w:cs="Times New Roman"/>
          <w:i/>
          <w:sz w:val="24"/>
          <w:szCs w:val="24"/>
        </w:rPr>
        <w:t>lata</w:t>
      </w:r>
      <w:proofErr w:type="spellEnd"/>
      <w:r w:rsidR="006656B0">
        <w:rPr>
          <w:rFonts w:ascii="Times New Roman" w:hAnsi="Times New Roman" w:cs="Times New Roman"/>
          <w:sz w:val="24"/>
          <w:szCs w:val="24"/>
        </w:rPr>
        <w:t xml:space="preserve">, according to the construction </w:t>
      </w:r>
      <w:r w:rsidR="007F16A9">
        <w:rPr>
          <w:rFonts w:ascii="Times New Roman" w:hAnsi="Times New Roman" w:cs="Times New Roman"/>
          <w:sz w:val="24"/>
          <w:szCs w:val="24"/>
        </w:rPr>
        <w:t xml:space="preserve">established </w:t>
      </w:r>
      <w:r w:rsidR="006656B0">
        <w:rPr>
          <w:rFonts w:ascii="Times New Roman" w:hAnsi="Times New Roman" w:cs="Times New Roman"/>
          <w:sz w:val="24"/>
          <w:szCs w:val="24"/>
        </w:rPr>
        <w:t xml:space="preserve">by the CJEU in 2004, the </w:t>
      </w:r>
      <w:r w:rsidR="008E764B">
        <w:rPr>
          <w:rFonts w:ascii="Times New Roman" w:hAnsi="Times New Roman" w:cs="Times New Roman"/>
          <w:sz w:val="24"/>
          <w:szCs w:val="24"/>
        </w:rPr>
        <w:t xml:space="preserve">issue of </w:t>
      </w:r>
      <w:r w:rsidR="006656B0">
        <w:rPr>
          <w:rFonts w:ascii="Times New Roman" w:hAnsi="Times New Roman" w:cs="Times New Roman"/>
          <w:sz w:val="24"/>
          <w:szCs w:val="24"/>
        </w:rPr>
        <w:t xml:space="preserve">protection hardly arises. Indeed, </w:t>
      </w:r>
      <w:r w:rsidR="00C77D00">
        <w:rPr>
          <w:rFonts w:ascii="Times New Roman" w:hAnsi="Times New Roman" w:cs="Times New Roman"/>
          <w:sz w:val="24"/>
          <w:szCs w:val="24"/>
        </w:rPr>
        <w:t xml:space="preserve">as pointed out by the Court, when data </w:t>
      </w:r>
      <w:r w:rsidR="00E71620">
        <w:rPr>
          <w:rFonts w:ascii="Times New Roman" w:hAnsi="Times New Roman" w:cs="Times New Roman"/>
          <w:sz w:val="24"/>
          <w:szCs w:val="24"/>
        </w:rPr>
        <w:t>is</w:t>
      </w:r>
      <w:r w:rsidR="00C77D00">
        <w:rPr>
          <w:rFonts w:ascii="Times New Roman" w:hAnsi="Times New Roman" w:cs="Times New Roman"/>
          <w:sz w:val="24"/>
          <w:szCs w:val="24"/>
        </w:rPr>
        <w:t xml:space="preserve"> created by the same entity that generat</w:t>
      </w:r>
      <w:r w:rsidR="008E764B">
        <w:rPr>
          <w:rFonts w:ascii="Times New Roman" w:hAnsi="Times New Roman" w:cs="Times New Roman"/>
          <w:sz w:val="24"/>
          <w:szCs w:val="24"/>
        </w:rPr>
        <w:t>es</w:t>
      </w:r>
      <w:r w:rsidR="00C77D00">
        <w:rPr>
          <w:rFonts w:ascii="Times New Roman" w:hAnsi="Times New Roman" w:cs="Times New Roman"/>
          <w:sz w:val="24"/>
          <w:szCs w:val="24"/>
        </w:rPr>
        <w:t xml:space="preserve"> the database, </w:t>
      </w:r>
      <w:r w:rsidR="00E71620">
        <w:rPr>
          <w:rFonts w:ascii="Times New Roman" w:hAnsi="Times New Roman" w:cs="Times New Roman"/>
          <w:sz w:val="24"/>
          <w:szCs w:val="24"/>
        </w:rPr>
        <w:t>its</w:t>
      </w:r>
      <w:r w:rsidR="00C77D00">
        <w:rPr>
          <w:rFonts w:ascii="Times New Roman" w:hAnsi="Times New Roman" w:cs="Times New Roman"/>
          <w:sz w:val="24"/>
          <w:szCs w:val="24"/>
        </w:rPr>
        <w:t xml:space="preserve"> collection does not require a</w:t>
      </w:r>
      <w:r w:rsidR="008E764B">
        <w:rPr>
          <w:rFonts w:ascii="Times New Roman" w:hAnsi="Times New Roman" w:cs="Times New Roman"/>
          <w:sz w:val="24"/>
          <w:szCs w:val="24"/>
        </w:rPr>
        <w:t>ny</w:t>
      </w:r>
      <w:r w:rsidR="00C77D00">
        <w:rPr>
          <w:rFonts w:ascii="Times New Roman" w:hAnsi="Times New Roman" w:cs="Times New Roman"/>
          <w:sz w:val="24"/>
          <w:szCs w:val="24"/>
        </w:rPr>
        <w:t xml:space="preserve"> particular investment</w:t>
      </w:r>
      <w:r w:rsidR="008E764B">
        <w:rPr>
          <w:rFonts w:ascii="Times New Roman" w:hAnsi="Times New Roman" w:cs="Times New Roman"/>
          <w:sz w:val="24"/>
          <w:szCs w:val="24"/>
        </w:rPr>
        <w:t>.</w:t>
      </w:r>
      <w:r w:rsidR="00C77D00">
        <w:rPr>
          <w:rStyle w:val="FootnoteReference"/>
          <w:rFonts w:ascii="Times New Roman" w:hAnsi="Times New Roman" w:cs="Times New Roman"/>
          <w:sz w:val="24"/>
          <w:szCs w:val="24"/>
        </w:rPr>
        <w:footnoteReference w:id="69"/>
      </w:r>
      <w:r w:rsidR="005234E6">
        <w:rPr>
          <w:rFonts w:ascii="Times New Roman" w:hAnsi="Times New Roman" w:cs="Times New Roman"/>
          <w:sz w:val="24"/>
          <w:szCs w:val="24"/>
        </w:rPr>
        <w:t xml:space="preserve"> </w:t>
      </w:r>
      <w:r w:rsidR="00DC06D1">
        <w:rPr>
          <w:rFonts w:ascii="Times New Roman" w:hAnsi="Times New Roman" w:cs="Times New Roman"/>
          <w:sz w:val="24"/>
          <w:szCs w:val="24"/>
        </w:rPr>
        <w:t xml:space="preserve"> </w:t>
      </w:r>
      <w:r w:rsidR="007F0A53">
        <w:rPr>
          <w:rFonts w:ascii="Times New Roman" w:hAnsi="Times New Roman" w:cs="Times New Roman"/>
          <w:sz w:val="24"/>
          <w:szCs w:val="24"/>
        </w:rPr>
        <w:t xml:space="preserve">Furthermore, </w:t>
      </w:r>
      <w:r w:rsidR="008E764B">
        <w:rPr>
          <w:rFonts w:ascii="Times New Roman" w:hAnsi="Times New Roman" w:cs="Times New Roman"/>
          <w:sz w:val="24"/>
          <w:szCs w:val="24"/>
        </w:rPr>
        <w:t xml:space="preserve">in this scenario </w:t>
      </w:r>
      <w:r w:rsidR="00745677">
        <w:rPr>
          <w:rFonts w:ascii="Times New Roman" w:hAnsi="Times New Roman" w:cs="Times New Roman"/>
          <w:sz w:val="24"/>
          <w:szCs w:val="24"/>
        </w:rPr>
        <w:t>it does not seem possible to identify a</w:t>
      </w:r>
      <w:r w:rsidR="008E764B">
        <w:rPr>
          <w:rFonts w:ascii="Times New Roman" w:hAnsi="Times New Roman" w:cs="Times New Roman"/>
          <w:sz w:val="24"/>
          <w:szCs w:val="24"/>
        </w:rPr>
        <w:t>ny</w:t>
      </w:r>
      <w:r w:rsidR="00745677">
        <w:rPr>
          <w:rFonts w:ascii="Times New Roman" w:hAnsi="Times New Roman" w:cs="Times New Roman"/>
          <w:sz w:val="24"/>
          <w:szCs w:val="24"/>
        </w:rPr>
        <w:t xml:space="preserve"> separable investment in verifying </w:t>
      </w:r>
      <w:r w:rsidR="00E2352B">
        <w:rPr>
          <w:rFonts w:ascii="Times New Roman" w:hAnsi="Times New Roman" w:cs="Times New Roman"/>
          <w:sz w:val="24"/>
          <w:szCs w:val="24"/>
        </w:rPr>
        <w:t xml:space="preserve">the </w:t>
      </w:r>
      <w:r w:rsidR="00100E21">
        <w:rPr>
          <w:rFonts w:ascii="Times New Roman" w:hAnsi="Times New Roman" w:cs="Times New Roman"/>
          <w:sz w:val="24"/>
          <w:szCs w:val="24"/>
        </w:rPr>
        <w:t>data</w:t>
      </w:r>
      <w:r w:rsidR="008E764B">
        <w:rPr>
          <w:rFonts w:ascii="Times New Roman" w:hAnsi="Times New Roman" w:cs="Times New Roman"/>
          <w:sz w:val="24"/>
          <w:szCs w:val="24"/>
        </w:rPr>
        <w:t>.</w:t>
      </w:r>
      <w:r w:rsidR="00E2352B">
        <w:rPr>
          <w:rStyle w:val="FootnoteReference"/>
          <w:rFonts w:ascii="Times New Roman" w:hAnsi="Times New Roman" w:cs="Times New Roman"/>
          <w:sz w:val="24"/>
          <w:szCs w:val="24"/>
        </w:rPr>
        <w:footnoteReference w:id="70"/>
      </w:r>
      <w:r w:rsidR="00100E21">
        <w:rPr>
          <w:rFonts w:ascii="Times New Roman" w:hAnsi="Times New Roman" w:cs="Times New Roman"/>
          <w:sz w:val="24"/>
          <w:szCs w:val="24"/>
        </w:rPr>
        <w:t xml:space="preserve"> However, a small </w:t>
      </w:r>
      <w:r w:rsidR="00100E21">
        <w:rPr>
          <w:rFonts w:ascii="Times New Roman" w:hAnsi="Times New Roman" w:cs="Times New Roman"/>
          <w:sz w:val="24"/>
          <w:szCs w:val="24"/>
        </w:rPr>
        <w:lastRenderedPageBreak/>
        <w:t xml:space="preserve">“opening” </w:t>
      </w:r>
      <w:r w:rsidR="008E764B">
        <w:rPr>
          <w:rFonts w:ascii="Times New Roman" w:hAnsi="Times New Roman" w:cs="Times New Roman"/>
          <w:sz w:val="24"/>
          <w:szCs w:val="24"/>
        </w:rPr>
        <w:t xml:space="preserve">for </w:t>
      </w:r>
      <w:r w:rsidR="00100E21">
        <w:rPr>
          <w:rFonts w:ascii="Times New Roman" w:hAnsi="Times New Roman" w:cs="Times New Roman"/>
          <w:sz w:val="24"/>
          <w:szCs w:val="24"/>
        </w:rPr>
        <w:t xml:space="preserve">protection </w:t>
      </w:r>
      <w:r w:rsidR="008E764B">
        <w:rPr>
          <w:rFonts w:ascii="Times New Roman" w:hAnsi="Times New Roman" w:cs="Times New Roman"/>
          <w:sz w:val="24"/>
          <w:szCs w:val="24"/>
        </w:rPr>
        <w:t xml:space="preserve">might </w:t>
      </w:r>
      <w:r w:rsidR="00100E21">
        <w:rPr>
          <w:rFonts w:ascii="Times New Roman" w:hAnsi="Times New Roman" w:cs="Times New Roman"/>
          <w:sz w:val="24"/>
          <w:szCs w:val="24"/>
        </w:rPr>
        <w:t xml:space="preserve">be found </w:t>
      </w:r>
      <w:r w:rsidR="008E764B">
        <w:rPr>
          <w:rFonts w:ascii="Times New Roman" w:hAnsi="Times New Roman" w:cs="Times New Roman"/>
          <w:sz w:val="24"/>
          <w:szCs w:val="24"/>
        </w:rPr>
        <w:t xml:space="preserve">where </w:t>
      </w:r>
      <w:r w:rsidR="00100E21">
        <w:rPr>
          <w:rFonts w:ascii="Times New Roman" w:hAnsi="Times New Roman" w:cs="Times New Roman"/>
          <w:sz w:val="24"/>
          <w:szCs w:val="24"/>
        </w:rPr>
        <w:t>investment in presenting the data</w:t>
      </w:r>
      <w:r w:rsidR="008E764B">
        <w:rPr>
          <w:rFonts w:ascii="Times New Roman" w:hAnsi="Times New Roman" w:cs="Times New Roman"/>
          <w:sz w:val="24"/>
          <w:szCs w:val="24"/>
        </w:rPr>
        <w:t xml:space="preserve"> is concerned</w:t>
      </w:r>
      <w:r w:rsidR="00100E21">
        <w:rPr>
          <w:rFonts w:ascii="Times New Roman" w:hAnsi="Times New Roman" w:cs="Times New Roman"/>
          <w:sz w:val="24"/>
          <w:szCs w:val="24"/>
        </w:rPr>
        <w:t>. In</w:t>
      </w:r>
      <w:r w:rsidR="00B66315">
        <w:rPr>
          <w:rFonts w:ascii="Times New Roman" w:hAnsi="Times New Roman" w:cs="Times New Roman"/>
          <w:sz w:val="24"/>
          <w:szCs w:val="24"/>
        </w:rPr>
        <w:t xml:space="preserve">deed, even </w:t>
      </w:r>
      <w:r w:rsidR="008E764B">
        <w:rPr>
          <w:rFonts w:ascii="Times New Roman" w:hAnsi="Times New Roman" w:cs="Times New Roman"/>
          <w:sz w:val="24"/>
          <w:szCs w:val="24"/>
        </w:rPr>
        <w:t>though</w:t>
      </w:r>
      <w:r w:rsidR="00B66315">
        <w:rPr>
          <w:rFonts w:ascii="Times New Roman" w:hAnsi="Times New Roman" w:cs="Times New Roman"/>
          <w:sz w:val="24"/>
          <w:szCs w:val="24"/>
        </w:rPr>
        <w:t xml:space="preserve"> data is</w:t>
      </w:r>
      <w:r w:rsidR="00100E21">
        <w:rPr>
          <w:rFonts w:ascii="Times New Roman" w:hAnsi="Times New Roman" w:cs="Times New Roman"/>
          <w:sz w:val="24"/>
          <w:szCs w:val="24"/>
        </w:rPr>
        <w:t xml:space="preserve"> </w:t>
      </w:r>
      <w:r w:rsidR="008E764B">
        <w:rPr>
          <w:rFonts w:ascii="Times New Roman" w:hAnsi="Times New Roman" w:cs="Times New Roman"/>
          <w:sz w:val="24"/>
          <w:szCs w:val="24"/>
        </w:rPr>
        <w:t xml:space="preserve">generally </w:t>
      </w:r>
      <w:r w:rsidR="00100E21">
        <w:rPr>
          <w:rFonts w:ascii="Times New Roman" w:hAnsi="Times New Roman" w:cs="Times New Roman"/>
          <w:sz w:val="24"/>
          <w:szCs w:val="24"/>
        </w:rPr>
        <w:t>created in an organized way</w:t>
      </w:r>
      <w:r w:rsidR="008E764B">
        <w:rPr>
          <w:rFonts w:ascii="Times New Roman" w:hAnsi="Times New Roman" w:cs="Times New Roman"/>
          <w:sz w:val="24"/>
          <w:szCs w:val="24"/>
        </w:rPr>
        <w:t>,</w:t>
      </w:r>
      <w:r w:rsidR="00100E21">
        <w:rPr>
          <w:rStyle w:val="FootnoteReference"/>
          <w:rFonts w:ascii="Times New Roman" w:hAnsi="Times New Roman" w:cs="Times New Roman"/>
          <w:sz w:val="24"/>
          <w:szCs w:val="24"/>
        </w:rPr>
        <w:footnoteReference w:id="71"/>
      </w:r>
      <w:r w:rsidR="00CD3EB0">
        <w:rPr>
          <w:rFonts w:ascii="Times New Roman" w:hAnsi="Times New Roman" w:cs="Times New Roman"/>
          <w:sz w:val="24"/>
          <w:szCs w:val="24"/>
        </w:rPr>
        <w:t xml:space="preserve"> when </w:t>
      </w:r>
      <w:r w:rsidR="008E764B">
        <w:rPr>
          <w:rFonts w:ascii="Times New Roman" w:hAnsi="Times New Roman" w:cs="Times New Roman"/>
          <w:sz w:val="24"/>
          <w:szCs w:val="24"/>
        </w:rPr>
        <w:t>an</w:t>
      </w:r>
      <w:r w:rsidR="00CD3EB0">
        <w:rPr>
          <w:rFonts w:ascii="Times New Roman" w:hAnsi="Times New Roman" w:cs="Times New Roman"/>
          <w:sz w:val="24"/>
          <w:szCs w:val="24"/>
        </w:rPr>
        <w:t xml:space="preserve"> AI system is developed without features </w:t>
      </w:r>
      <w:r w:rsidR="008E764B">
        <w:rPr>
          <w:rFonts w:ascii="Times New Roman" w:hAnsi="Times New Roman" w:cs="Times New Roman"/>
          <w:sz w:val="24"/>
          <w:szCs w:val="24"/>
        </w:rPr>
        <w:t xml:space="preserve">determining </w:t>
      </w:r>
      <w:r w:rsidR="00CD3EB0">
        <w:rPr>
          <w:rFonts w:ascii="Times New Roman" w:hAnsi="Times New Roman" w:cs="Times New Roman"/>
          <w:sz w:val="24"/>
          <w:szCs w:val="24"/>
        </w:rPr>
        <w:t xml:space="preserve">the organization of the outcomes, data </w:t>
      </w:r>
      <w:r w:rsidR="00A07660">
        <w:rPr>
          <w:rFonts w:ascii="Times New Roman" w:hAnsi="Times New Roman" w:cs="Times New Roman"/>
          <w:sz w:val="24"/>
          <w:szCs w:val="24"/>
        </w:rPr>
        <w:t>might</w:t>
      </w:r>
      <w:r w:rsidR="00100E21">
        <w:rPr>
          <w:rFonts w:ascii="Times New Roman" w:hAnsi="Times New Roman" w:cs="Times New Roman"/>
          <w:sz w:val="24"/>
          <w:szCs w:val="24"/>
        </w:rPr>
        <w:t xml:space="preserve"> </w:t>
      </w:r>
      <w:r w:rsidR="000A080D">
        <w:rPr>
          <w:rFonts w:ascii="Times New Roman" w:hAnsi="Times New Roman" w:cs="Times New Roman"/>
          <w:sz w:val="24"/>
          <w:szCs w:val="24"/>
        </w:rPr>
        <w:t xml:space="preserve">be </w:t>
      </w:r>
      <w:r w:rsidR="00100E21">
        <w:rPr>
          <w:rFonts w:ascii="Times New Roman" w:hAnsi="Times New Roman" w:cs="Times New Roman"/>
          <w:sz w:val="24"/>
          <w:szCs w:val="24"/>
        </w:rPr>
        <w:t>produced in a disorganized manner</w:t>
      </w:r>
      <w:r w:rsidR="00CD3EB0">
        <w:rPr>
          <w:rFonts w:ascii="Times New Roman" w:hAnsi="Times New Roman" w:cs="Times New Roman"/>
          <w:sz w:val="24"/>
          <w:szCs w:val="24"/>
        </w:rPr>
        <w:t>. Thus, develop</w:t>
      </w:r>
      <w:r w:rsidR="000A080D">
        <w:rPr>
          <w:rFonts w:ascii="Times New Roman" w:hAnsi="Times New Roman" w:cs="Times New Roman"/>
          <w:sz w:val="24"/>
          <w:szCs w:val="24"/>
        </w:rPr>
        <w:t>ment</w:t>
      </w:r>
      <w:r w:rsidR="00CD3EB0">
        <w:rPr>
          <w:rFonts w:ascii="Times New Roman" w:hAnsi="Times New Roman" w:cs="Times New Roman"/>
          <w:sz w:val="24"/>
          <w:szCs w:val="24"/>
        </w:rPr>
        <w:t xml:space="preserve"> of another AI algorithm </w:t>
      </w:r>
      <w:r w:rsidR="008E764B">
        <w:rPr>
          <w:rFonts w:ascii="Times New Roman" w:hAnsi="Times New Roman" w:cs="Times New Roman"/>
          <w:sz w:val="24"/>
          <w:szCs w:val="24"/>
        </w:rPr>
        <w:t>to</w:t>
      </w:r>
      <w:r w:rsidR="00CD3EB0">
        <w:rPr>
          <w:rFonts w:ascii="Times New Roman" w:hAnsi="Times New Roman" w:cs="Times New Roman"/>
          <w:sz w:val="24"/>
          <w:szCs w:val="24"/>
        </w:rPr>
        <w:t xml:space="preserve"> manage the presentation of such data could </w:t>
      </w:r>
      <w:proofErr w:type="gramStart"/>
      <w:r w:rsidR="00CD3EB0">
        <w:rPr>
          <w:rFonts w:ascii="Times New Roman" w:hAnsi="Times New Roman" w:cs="Times New Roman"/>
          <w:sz w:val="24"/>
          <w:szCs w:val="24"/>
        </w:rPr>
        <w:t>be seen as</w:t>
      </w:r>
      <w:proofErr w:type="gramEnd"/>
      <w:r w:rsidR="00CD3EB0">
        <w:rPr>
          <w:rFonts w:ascii="Times New Roman" w:hAnsi="Times New Roman" w:cs="Times New Roman"/>
          <w:sz w:val="24"/>
          <w:szCs w:val="24"/>
        </w:rPr>
        <w:t xml:space="preserve"> a substantial investment.</w:t>
      </w:r>
    </w:p>
    <w:p w14:paraId="2ECEE7C9" w14:textId="77777777" w:rsidR="008E764B" w:rsidRDefault="008E764B" w:rsidP="00271AA1">
      <w:pPr>
        <w:spacing w:after="0" w:line="240" w:lineRule="auto"/>
        <w:jc w:val="both"/>
        <w:rPr>
          <w:rFonts w:ascii="Times New Roman" w:hAnsi="Times New Roman" w:cs="Times New Roman"/>
          <w:sz w:val="24"/>
          <w:szCs w:val="24"/>
        </w:rPr>
      </w:pPr>
    </w:p>
    <w:p w14:paraId="31375012" w14:textId="42AC145D" w:rsidR="006F6B08" w:rsidRDefault="00154F34"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Moreover, differentiation of the algorithms – </w:t>
      </w:r>
      <w:r w:rsidRPr="00154F34">
        <w:rPr>
          <w:rFonts w:ascii="Times New Roman" w:hAnsi="Times New Roman" w:cs="Times New Roman"/>
          <w:sz w:val="24"/>
          <w:szCs w:val="24"/>
        </w:rPr>
        <w:t>one for the creation of the contents (for instance through data mining) and on</w:t>
      </w:r>
      <w:r>
        <w:rPr>
          <w:rFonts w:ascii="Times New Roman" w:hAnsi="Times New Roman" w:cs="Times New Roman"/>
          <w:sz w:val="24"/>
          <w:szCs w:val="24"/>
        </w:rPr>
        <w:t>e</w:t>
      </w:r>
      <w:r w:rsidRPr="00154F34">
        <w:rPr>
          <w:rFonts w:ascii="Times New Roman" w:hAnsi="Times New Roman" w:cs="Times New Roman"/>
          <w:sz w:val="24"/>
          <w:szCs w:val="24"/>
        </w:rPr>
        <w:t xml:space="preserve"> for obtaining, verifying or</w:t>
      </w:r>
      <w:proofErr w:type="gramStart"/>
      <w:r>
        <w:rPr>
          <w:rFonts w:ascii="Times New Roman" w:hAnsi="Times New Roman" w:cs="Times New Roman"/>
          <w:sz w:val="24"/>
          <w:szCs w:val="24"/>
        </w:rPr>
        <w:t>, in particular,</w:t>
      </w:r>
      <w:r w:rsidRPr="00154F34">
        <w:rPr>
          <w:rFonts w:ascii="Times New Roman" w:hAnsi="Times New Roman" w:cs="Times New Roman"/>
          <w:sz w:val="24"/>
          <w:szCs w:val="24"/>
        </w:rPr>
        <w:t xml:space="preserve"> presenting</w:t>
      </w:r>
      <w:proofErr w:type="gramEnd"/>
      <w:r w:rsidRPr="00154F34">
        <w:rPr>
          <w:rFonts w:ascii="Times New Roman" w:hAnsi="Times New Roman" w:cs="Times New Roman"/>
          <w:sz w:val="24"/>
          <w:szCs w:val="24"/>
        </w:rPr>
        <w:t xml:space="preserve"> the data created by the former</w:t>
      </w:r>
      <w:r w:rsidR="007F16A9">
        <w:rPr>
          <w:rFonts w:ascii="Times New Roman" w:hAnsi="Times New Roman" w:cs="Times New Roman"/>
          <w:sz w:val="24"/>
          <w:szCs w:val="24"/>
        </w:rPr>
        <w:t xml:space="preserve"> –</w:t>
      </w:r>
      <w:r w:rsidR="00260BBA">
        <w:rPr>
          <w:rFonts w:ascii="Times New Roman" w:hAnsi="Times New Roman" w:cs="Times New Roman"/>
          <w:sz w:val="24"/>
          <w:szCs w:val="24"/>
        </w:rPr>
        <w:t xml:space="preserve"> could be</w:t>
      </w:r>
      <w:r w:rsidR="00B167C5">
        <w:rPr>
          <w:rFonts w:ascii="Times New Roman" w:hAnsi="Times New Roman" w:cs="Times New Roman"/>
          <w:sz w:val="24"/>
          <w:szCs w:val="24"/>
        </w:rPr>
        <w:t xml:space="preserve"> </w:t>
      </w:r>
      <w:r w:rsidR="008E764B">
        <w:rPr>
          <w:rFonts w:ascii="Times New Roman" w:hAnsi="Times New Roman" w:cs="Times New Roman"/>
          <w:sz w:val="24"/>
          <w:szCs w:val="24"/>
        </w:rPr>
        <w:t xml:space="preserve">a way of </w:t>
      </w:r>
      <w:r w:rsidR="00B167C5">
        <w:rPr>
          <w:rFonts w:ascii="Times New Roman" w:hAnsi="Times New Roman" w:cs="Times New Roman"/>
          <w:sz w:val="24"/>
          <w:szCs w:val="24"/>
        </w:rPr>
        <w:t>circumvent</w:t>
      </w:r>
      <w:r w:rsidR="008E764B">
        <w:rPr>
          <w:rFonts w:ascii="Times New Roman" w:hAnsi="Times New Roman" w:cs="Times New Roman"/>
          <w:sz w:val="24"/>
          <w:szCs w:val="24"/>
        </w:rPr>
        <w:t>ing</w:t>
      </w:r>
      <w:r w:rsidR="00B167C5">
        <w:rPr>
          <w:rFonts w:ascii="Times New Roman" w:hAnsi="Times New Roman" w:cs="Times New Roman"/>
          <w:sz w:val="24"/>
          <w:szCs w:val="24"/>
        </w:rPr>
        <w:t xml:space="preserve"> </w:t>
      </w:r>
      <w:r w:rsidR="008E764B">
        <w:rPr>
          <w:rFonts w:ascii="Times New Roman" w:hAnsi="Times New Roman" w:cs="Times New Roman"/>
          <w:sz w:val="24"/>
          <w:szCs w:val="24"/>
        </w:rPr>
        <w:t xml:space="preserve">the </w:t>
      </w:r>
      <w:r w:rsidR="006F6B08">
        <w:rPr>
          <w:rFonts w:ascii="Times New Roman" w:hAnsi="Times New Roman" w:cs="Times New Roman"/>
          <w:sz w:val="24"/>
          <w:szCs w:val="24"/>
        </w:rPr>
        <w:t>narrow interpretation provided by the CJEU</w:t>
      </w:r>
      <w:r w:rsidR="008E764B">
        <w:rPr>
          <w:rFonts w:ascii="Times New Roman" w:hAnsi="Times New Roman" w:cs="Times New Roman"/>
          <w:sz w:val="24"/>
          <w:szCs w:val="24"/>
        </w:rPr>
        <w:t>.</w:t>
      </w:r>
      <w:r w:rsidRPr="00154F34">
        <w:rPr>
          <w:rStyle w:val="FootnoteReference"/>
          <w:rFonts w:ascii="Times New Roman" w:hAnsi="Times New Roman" w:cs="Times New Roman"/>
          <w:sz w:val="24"/>
          <w:szCs w:val="24"/>
        </w:rPr>
        <w:footnoteReference w:id="72"/>
      </w:r>
      <w:r w:rsidR="006F6B08">
        <w:rPr>
          <w:rFonts w:ascii="Times New Roman" w:hAnsi="Times New Roman" w:cs="Times New Roman"/>
          <w:sz w:val="24"/>
          <w:szCs w:val="24"/>
        </w:rPr>
        <w:t xml:space="preserve"> Similarly, </w:t>
      </w:r>
      <w:r w:rsidR="008E764B">
        <w:rPr>
          <w:rFonts w:ascii="Times New Roman" w:hAnsi="Times New Roman" w:cs="Times New Roman"/>
          <w:sz w:val="24"/>
          <w:szCs w:val="24"/>
        </w:rPr>
        <w:t xml:space="preserve">such </w:t>
      </w:r>
      <w:r w:rsidR="006F6B08">
        <w:rPr>
          <w:rFonts w:ascii="Times New Roman" w:hAnsi="Times New Roman" w:cs="Times New Roman"/>
          <w:sz w:val="24"/>
          <w:szCs w:val="24"/>
        </w:rPr>
        <w:t xml:space="preserve">circumvention </w:t>
      </w:r>
      <w:r w:rsidR="008E764B">
        <w:rPr>
          <w:rFonts w:ascii="Times New Roman" w:hAnsi="Times New Roman" w:cs="Times New Roman"/>
          <w:sz w:val="24"/>
          <w:szCs w:val="24"/>
        </w:rPr>
        <w:t xml:space="preserve">could </w:t>
      </w:r>
      <w:r w:rsidR="006F6B08">
        <w:rPr>
          <w:rFonts w:ascii="Times New Roman" w:hAnsi="Times New Roman" w:cs="Times New Roman"/>
          <w:sz w:val="24"/>
          <w:szCs w:val="24"/>
        </w:rPr>
        <w:t xml:space="preserve">be achieved </w:t>
      </w:r>
      <w:r w:rsidR="008E764B">
        <w:rPr>
          <w:rFonts w:ascii="Times New Roman" w:hAnsi="Times New Roman" w:cs="Times New Roman"/>
          <w:sz w:val="24"/>
          <w:szCs w:val="24"/>
        </w:rPr>
        <w:t xml:space="preserve">by </w:t>
      </w:r>
      <w:r w:rsidR="006F6B08">
        <w:rPr>
          <w:rFonts w:ascii="Times New Roman" w:hAnsi="Times New Roman" w:cs="Times New Roman"/>
          <w:sz w:val="24"/>
          <w:szCs w:val="24"/>
        </w:rPr>
        <w:t>assign</w:t>
      </w:r>
      <w:r w:rsidR="008E764B">
        <w:rPr>
          <w:rFonts w:ascii="Times New Roman" w:hAnsi="Times New Roman" w:cs="Times New Roman"/>
          <w:sz w:val="24"/>
          <w:szCs w:val="24"/>
        </w:rPr>
        <w:t xml:space="preserve">ing the </w:t>
      </w:r>
      <w:r w:rsidR="00DC2150">
        <w:rPr>
          <w:rFonts w:ascii="Times New Roman" w:hAnsi="Times New Roman" w:cs="Times New Roman"/>
          <w:sz w:val="24"/>
          <w:szCs w:val="24"/>
        </w:rPr>
        <w:t>data to a sister company.</w:t>
      </w:r>
    </w:p>
    <w:p w14:paraId="5675CA8E" w14:textId="77777777" w:rsidR="008E764B" w:rsidRDefault="008E764B" w:rsidP="00271AA1">
      <w:pPr>
        <w:spacing w:after="0" w:line="240" w:lineRule="auto"/>
        <w:jc w:val="both"/>
        <w:rPr>
          <w:rFonts w:ascii="Times New Roman" w:hAnsi="Times New Roman" w:cs="Times New Roman"/>
          <w:sz w:val="24"/>
          <w:szCs w:val="24"/>
        </w:rPr>
      </w:pPr>
    </w:p>
    <w:p w14:paraId="166270D5" w14:textId="7505D1F0" w:rsidR="000F3543" w:rsidRDefault="00E71620"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so-called recorded data is concerned, a</w:t>
      </w:r>
      <w:r w:rsidR="00B167C5">
        <w:rPr>
          <w:rFonts w:ascii="Times New Roman" w:hAnsi="Times New Roman" w:cs="Times New Roman"/>
          <w:sz w:val="24"/>
          <w:szCs w:val="24"/>
        </w:rPr>
        <w:t xml:space="preserve"> different scenario</w:t>
      </w:r>
      <w:r w:rsidR="007F16A9">
        <w:rPr>
          <w:rFonts w:ascii="Times New Roman" w:hAnsi="Times New Roman" w:cs="Times New Roman"/>
          <w:sz w:val="24"/>
          <w:szCs w:val="24"/>
        </w:rPr>
        <w:t xml:space="preserve"> (</w:t>
      </w:r>
      <w:r>
        <w:rPr>
          <w:rFonts w:ascii="Times New Roman" w:hAnsi="Times New Roman" w:cs="Times New Roman"/>
          <w:sz w:val="24"/>
          <w:szCs w:val="24"/>
        </w:rPr>
        <w:t xml:space="preserve">again </w:t>
      </w:r>
      <w:r w:rsidR="00B167C5">
        <w:rPr>
          <w:rFonts w:ascii="Times New Roman" w:hAnsi="Times New Roman" w:cs="Times New Roman"/>
          <w:sz w:val="24"/>
          <w:szCs w:val="24"/>
        </w:rPr>
        <w:t xml:space="preserve">related to the first </w:t>
      </w:r>
      <w:r w:rsidR="007F16A9">
        <w:rPr>
          <w:rFonts w:ascii="Times New Roman" w:hAnsi="Times New Roman" w:cs="Times New Roman"/>
          <w:sz w:val="24"/>
          <w:szCs w:val="24"/>
        </w:rPr>
        <w:t>aspect</w:t>
      </w:r>
      <w:r>
        <w:rPr>
          <w:rFonts w:ascii="Times New Roman" w:hAnsi="Times New Roman" w:cs="Times New Roman"/>
          <w:sz w:val="24"/>
          <w:szCs w:val="24"/>
        </w:rPr>
        <w:t xml:space="preserve"> </w:t>
      </w:r>
      <w:r w:rsidR="00B167C5">
        <w:rPr>
          <w:rFonts w:ascii="Times New Roman" w:hAnsi="Times New Roman" w:cs="Times New Roman"/>
          <w:sz w:val="24"/>
          <w:szCs w:val="24"/>
        </w:rPr>
        <w:t>of the requirement</w:t>
      </w:r>
      <w:r w:rsidR="007F16A9">
        <w:rPr>
          <w:rFonts w:ascii="Times New Roman" w:hAnsi="Times New Roman" w:cs="Times New Roman"/>
          <w:sz w:val="24"/>
          <w:szCs w:val="24"/>
        </w:rPr>
        <w:t>)</w:t>
      </w:r>
      <w:r>
        <w:rPr>
          <w:rFonts w:ascii="Times New Roman" w:hAnsi="Times New Roman" w:cs="Times New Roman"/>
          <w:sz w:val="24"/>
          <w:szCs w:val="24"/>
        </w:rPr>
        <w:t xml:space="preserve"> applies</w:t>
      </w:r>
      <w:r w:rsidR="00B167C5">
        <w:rPr>
          <w:rFonts w:ascii="Times New Roman" w:hAnsi="Times New Roman" w:cs="Times New Roman"/>
          <w:sz w:val="24"/>
          <w:szCs w:val="24"/>
        </w:rPr>
        <w:t>. As stated above, it does not seem possible to consider such data as created rather than obtained. In the AI field, we c</w:t>
      </w:r>
      <w:r>
        <w:rPr>
          <w:rFonts w:ascii="Times New Roman" w:hAnsi="Times New Roman" w:cs="Times New Roman"/>
          <w:sz w:val="24"/>
          <w:szCs w:val="24"/>
        </w:rPr>
        <w:t>an</w:t>
      </w:r>
      <w:r w:rsidR="00B167C5">
        <w:rPr>
          <w:rFonts w:ascii="Times New Roman" w:hAnsi="Times New Roman" w:cs="Times New Roman"/>
          <w:sz w:val="24"/>
          <w:szCs w:val="24"/>
        </w:rPr>
        <w:t xml:space="preserve"> identify data recorded by sensors</w:t>
      </w:r>
      <w:r>
        <w:rPr>
          <w:rFonts w:ascii="Times New Roman" w:hAnsi="Times New Roman" w:cs="Times New Roman"/>
          <w:sz w:val="24"/>
          <w:szCs w:val="24"/>
        </w:rPr>
        <w:t>,</w:t>
      </w:r>
      <w:r w:rsidR="006253EA">
        <w:rPr>
          <w:rFonts w:ascii="Times New Roman" w:hAnsi="Times New Roman" w:cs="Times New Roman"/>
          <w:sz w:val="24"/>
          <w:szCs w:val="24"/>
        </w:rPr>
        <w:t xml:space="preserve"> and then processed by the AI software</w:t>
      </w:r>
      <w:r>
        <w:rPr>
          <w:rFonts w:ascii="Times New Roman" w:hAnsi="Times New Roman" w:cs="Times New Roman"/>
          <w:sz w:val="24"/>
          <w:szCs w:val="24"/>
        </w:rPr>
        <w:t xml:space="preserve">, and </w:t>
      </w:r>
      <w:r w:rsidR="00B167C5">
        <w:rPr>
          <w:rFonts w:ascii="Times New Roman" w:hAnsi="Times New Roman" w:cs="Times New Roman"/>
          <w:sz w:val="24"/>
          <w:szCs w:val="24"/>
        </w:rPr>
        <w:t>data obtained through data mining processes</w:t>
      </w:r>
      <w:r>
        <w:rPr>
          <w:rFonts w:ascii="Times New Roman" w:hAnsi="Times New Roman" w:cs="Times New Roman"/>
          <w:sz w:val="24"/>
          <w:szCs w:val="24"/>
        </w:rPr>
        <w:t>.</w:t>
      </w:r>
      <w:r w:rsidR="00B167C5">
        <w:rPr>
          <w:rStyle w:val="FootnoteReference"/>
          <w:rFonts w:ascii="Times New Roman" w:hAnsi="Times New Roman" w:cs="Times New Roman"/>
          <w:sz w:val="24"/>
          <w:szCs w:val="24"/>
        </w:rPr>
        <w:footnoteReference w:id="73"/>
      </w:r>
      <w:r w:rsidR="00A87A6D">
        <w:rPr>
          <w:rFonts w:ascii="Times New Roman" w:hAnsi="Times New Roman" w:cs="Times New Roman"/>
          <w:sz w:val="24"/>
          <w:szCs w:val="24"/>
        </w:rPr>
        <w:t xml:space="preserve"> In both cases, the investment would be in obtaining the data, </w:t>
      </w:r>
      <w:r w:rsidR="007F16A9">
        <w:rPr>
          <w:rFonts w:ascii="Times New Roman" w:hAnsi="Times New Roman" w:cs="Times New Roman"/>
          <w:sz w:val="24"/>
          <w:szCs w:val="24"/>
        </w:rPr>
        <w:t xml:space="preserve">thus </w:t>
      </w:r>
      <w:r w:rsidR="00A87A6D">
        <w:rPr>
          <w:rFonts w:ascii="Times New Roman" w:hAnsi="Times New Roman" w:cs="Times New Roman"/>
          <w:sz w:val="24"/>
          <w:szCs w:val="24"/>
        </w:rPr>
        <w:t>triggering</w:t>
      </w:r>
      <w:r>
        <w:rPr>
          <w:rFonts w:ascii="Times New Roman" w:hAnsi="Times New Roman" w:cs="Times New Roman"/>
          <w:sz w:val="24"/>
          <w:szCs w:val="24"/>
        </w:rPr>
        <w:t xml:space="preserve"> protection provided </w:t>
      </w:r>
      <w:r w:rsidR="00A87A6D">
        <w:rPr>
          <w:rFonts w:ascii="Times New Roman" w:hAnsi="Times New Roman" w:cs="Times New Roman"/>
          <w:sz w:val="24"/>
          <w:szCs w:val="24"/>
        </w:rPr>
        <w:t xml:space="preserve">the substantiality threshold </w:t>
      </w:r>
      <w:r w:rsidR="00A07660">
        <w:rPr>
          <w:rFonts w:ascii="Times New Roman" w:hAnsi="Times New Roman" w:cs="Times New Roman"/>
          <w:sz w:val="24"/>
          <w:szCs w:val="24"/>
        </w:rPr>
        <w:t>was</w:t>
      </w:r>
      <w:r w:rsidR="00A87A6D">
        <w:rPr>
          <w:rFonts w:ascii="Times New Roman" w:hAnsi="Times New Roman" w:cs="Times New Roman"/>
          <w:sz w:val="24"/>
          <w:szCs w:val="24"/>
        </w:rPr>
        <w:t xml:space="preserve"> met</w:t>
      </w:r>
      <w:r>
        <w:rPr>
          <w:rFonts w:ascii="Times New Roman" w:hAnsi="Times New Roman" w:cs="Times New Roman"/>
          <w:sz w:val="24"/>
          <w:szCs w:val="24"/>
        </w:rPr>
        <w:t>.</w:t>
      </w:r>
      <w:r w:rsidR="000F3543">
        <w:rPr>
          <w:rFonts w:ascii="Times New Roman" w:hAnsi="Times New Roman" w:cs="Times New Roman"/>
          <w:sz w:val="24"/>
          <w:szCs w:val="24"/>
        </w:rPr>
        <w:t xml:space="preserve"> </w:t>
      </w:r>
      <w:proofErr w:type="gramStart"/>
      <w:r w:rsidR="000F3543">
        <w:rPr>
          <w:rFonts w:ascii="Times New Roman" w:hAnsi="Times New Roman" w:cs="Times New Roman"/>
          <w:sz w:val="24"/>
          <w:szCs w:val="24"/>
        </w:rPr>
        <w:t xml:space="preserve">In particular, </w:t>
      </w:r>
      <w:r>
        <w:rPr>
          <w:rFonts w:ascii="Times New Roman" w:hAnsi="Times New Roman" w:cs="Times New Roman"/>
          <w:sz w:val="24"/>
          <w:szCs w:val="24"/>
        </w:rPr>
        <w:t>given</w:t>
      </w:r>
      <w:proofErr w:type="gramEnd"/>
      <w:r>
        <w:rPr>
          <w:rFonts w:ascii="Times New Roman" w:hAnsi="Times New Roman" w:cs="Times New Roman"/>
          <w:sz w:val="24"/>
          <w:szCs w:val="24"/>
        </w:rPr>
        <w:t xml:space="preserve"> that </w:t>
      </w:r>
      <w:r w:rsidR="000F3543">
        <w:rPr>
          <w:rFonts w:ascii="Times New Roman" w:hAnsi="Times New Roman" w:cs="Times New Roman"/>
          <w:sz w:val="24"/>
          <w:szCs w:val="24"/>
        </w:rPr>
        <w:t>the issues related to sensor-recorded data have been examined above</w:t>
      </w:r>
      <w:r w:rsidR="00FE5B94">
        <w:rPr>
          <w:rFonts w:ascii="Times New Roman" w:hAnsi="Times New Roman" w:cs="Times New Roman"/>
          <w:sz w:val="24"/>
          <w:szCs w:val="24"/>
        </w:rPr>
        <w:t xml:space="preserve">, data mining </w:t>
      </w:r>
      <w:r>
        <w:rPr>
          <w:rFonts w:ascii="Times New Roman" w:hAnsi="Times New Roman" w:cs="Times New Roman"/>
          <w:sz w:val="24"/>
          <w:szCs w:val="24"/>
        </w:rPr>
        <w:t xml:space="preserve">can best </w:t>
      </w:r>
      <w:r w:rsidR="00FE5B94">
        <w:rPr>
          <w:rFonts w:ascii="Times New Roman" w:hAnsi="Times New Roman" w:cs="Times New Roman"/>
          <w:sz w:val="24"/>
          <w:szCs w:val="24"/>
        </w:rPr>
        <w:t>be analyzed here because it is</w:t>
      </w:r>
      <w:r w:rsidR="006B2E1C">
        <w:rPr>
          <w:rFonts w:ascii="Times New Roman" w:hAnsi="Times New Roman" w:cs="Times New Roman"/>
          <w:sz w:val="24"/>
          <w:szCs w:val="24"/>
        </w:rPr>
        <w:t xml:space="preserve"> strictly related to AI. </w:t>
      </w:r>
      <w:r w:rsidR="00FE5B94">
        <w:rPr>
          <w:rFonts w:ascii="Times New Roman" w:hAnsi="Times New Roman" w:cs="Times New Roman"/>
          <w:sz w:val="24"/>
          <w:szCs w:val="24"/>
        </w:rPr>
        <w:t>This process</w:t>
      </w:r>
      <w:r w:rsidR="00382838">
        <w:rPr>
          <w:rStyle w:val="FootnoteReference"/>
          <w:rFonts w:ascii="Times New Roman" w:hAnsi="Times New Roman" w:cs="Times New Roman"/>
          <w:sz w:val="24"/>
          <w:szCs w:val="24"/>
        </w:rPr>
        <w:footnoteReference w:id="74"/>
      </w:r>
      <w:r w:rsidR="00094C0E">
        <w:rPr>
          <w:rFonts w:ascii="Times New Roman" w:hAnsi="Times New Roman" w:cs="Times New Roman"/>
          <w:sz w:val="24"/>
          <w:szCs w:val="24"/>
        </w:rPr>
        <w:t xml:space="preserve"> </w:t>
      </w:r>
      <w:r>
        <w:rPr>
          <w:rFonts w:ascii="Times New Roman" w:hAnsi="Times New Roman" w:cs="Times New Roman"/>
          <w:sz w:val="24"/>
          <w:szCs w:val="24"/>
        </w:rPr>
        <w:t xml:space="preserve">consists in </w:t>
      </w:r>
      <w:proofErr w:type="spellStart"/>
      <w:r w:rsidR="00094C0E">
        <w:rPr>
          <w:rFonts w:ascii="Times New Roman" w:hAnsi="Times New Roman" w:cs="Times New Roman"/>
          <w:color w:val="000000"/>
          <w:sz w:val="24"/>
          <w:szCs w:val="24"/>
          <w:shd w:val="clear" w:color="auto" w:fill="FFFFFF"/>
        </w:rPr>
        <w:t>analy</w:t>
      </w:r>
      <w:r>
        <w:rPr>
          <w:rFonts w:ascii="Times New Roman" w:hAnsi="Times New Roman" w:cs="Times New Roman"/>
          <w:color w:val="000000"/>
          <w:sz w:val="24"/>
          <w:szCs w:val="24"/>
          <w:shd w:val="clear" w:color="auto" w:fill="FFFFFF"/>
        </w:rPr>
        <w:t>sing</w:t>
      </w:r>
      <w:proofErr w:type="spellEnd"/>
      <w:r w:rsidR="00094C0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094C0E" w:rsidRPr="006F2378">
        <w:rPr>
          <w:rFonts w:ascii="Times New Roman" w:hAnsi="Times New Roman" w:cs="Times New Roman"/>
          <w:i/>
          <w:color w:val="000000"/>
          <w:sz w:val="24"/>
          <w:szCs w:val="24"/>
          <w:shd w:val="clear" w:color="auto" w:fill="FFFFFF"/>
        </w:rPr>
        <w:t>text and data in digital form in order to generate information which includes but is not limited to patterns, trends and correlations</w:t>
      </w:r>
      <w:r>
        <w:rPr>
          <w:rFonts w:ascii="Times New Roman" w:hAnsi="Times New Roman" w:cs="Times New Roman"/>
          <w:color w:val="000000"/>
          <w:sz w:val="24"/>
          <w:szCs w:val="24"/>
          <w:shd w:val="clear" w:color="auto" w:fill="FFFFFF"/>
        </w:rPr>
        <w:t>”.</w:t>
      </w:r>
      <w:r w:rsidR="00094C0E">
        <w:rPr>
          <w:rStyle w:val="FootnoteReference"/>
          <w:rFonts w:ascii="Times New Roman" w:hAnsi="Times New Roman" w:cs="Times New Roman"/>
          <w:color w:val="000000"/>
          <w:sz w:val="24"/>
          <w:szCs w:val="24"/>
          <w:shd w:val="clear" w:color="auto" w:fill="FFFFFF"/>
        </w:rPr>
        <w:footnoteReference w:id="75"/>
      </w:r>
      <w:r w:rsidR="0008379B">
        <w:rPr>
          <w:rFonts w:ascii="Times New Roman" w:hAnsi="Times New Roman" w:cs="Times New Roman"/>
          <w:color w:val="000000"/>
          <w:sz w:val="24"/>
          <w:szCs w:val="24"/>
          <w:shd w:val="clear" w:color="auto" w:fill="FFFFFF"/>
        </w:rPr>
        <w:t xml:space="preserve"> Even </w:t>
      </w:r>
      <w:r>
        <w:rPr>
          <w:rFonts w:ascii="Times New Roman" w:hAnsi="Times New Roman" w:cs="Times New Roman"/>
          <w:color w:val="000000"/>
          <w:sz w:val="24"/>
          <w:szCs w:val="24"/>
          <w:shd w:val="clear" w:color="auto" w:fill="FFFFFF"/>
        </w:rPr>
        <w:t xml:space="preserve">though </w:t>
      </w:r>
      <w:r w:rsidR="0008379B">
        <w:rPr>
          <w:rFonts w:ascii="Times New Roman" w:hAnsi="Times New Roman" w:cs="Times New Roman"/>
          <w:color w:val="000000"/>
          <w:sz w:val="24"/>
          <w:szCs w:val="24"/>
          <w:shd w:val="clear" w:color="auto" w:fill="FFFFFF"/>
        </w:rPr>
        <w:t>the wording of the DSM Directive refers to the generation of informat</w:t>
      </w:r>
      <w:r w:rsidR="0016786E">
        <w:rPr>
          <w:rFonts w:ascii="Times New Roman" w:hAnsi="Times New Roman" w:cs="Times New Roman"/>
          <w:color w:val="000000"/>
          <w:sz w:val="24"/>
          <w:szCs w:val="24"/>
          <w:shd w:val="clear" w:color="auto" w:fill="FFFFFF"/>
        </w:rPr>
        <w:t>ion, we believe that</w:t>
      </w:r>
      <w:r w:rsidR="00D2328A">
        <w:rPr>
          <w:rFonts w:ascii="Times New Roman" w:hAnsi="Times New Roman" w:cs="Times New Roman"/>
          <w:color w:val="000000"/>
          <w:sz w:val="24"/>
          <w:szCs w:val="24"/>
          <w:shd w:val="clear" w:color="auto" w:fill="FFFFFF"/>
        </w:rPr>
        <w:t>,</w:t>
      </w:r>
      <w:r w:rsidR="0016786E">
        <w:rPr>
          <w:rFonts w:ascii="Times New Roman" w:hAnsi="Times New Roman" w:cs="Times New Roman"/>
          <w:color w:val="000000"/>
          <w:sz w:val="24"/>
          <w:szCs w:val="24"/>
          <w:shd w:val="clear" w:color="auto" w:fill="FFFFFF"/>
        </w:rPr>
        <w:t xml:space="preserve"> for our purposes</w:t>
      </w:r>
      <w:r w:rsidR="00D2328A">
        <w:rPr>
          <w:rFonts w:ascii="Times New Roman" w:hAnsi="Times New Roman" w:cs="Times New Roman"/>
          <w:color w:val="000000"/>
          <w:sz w:val="24"/>
          <w:szCs w:val="24"/>
          <w:shd w:val="clear" w:color="auto" w:fill="FFFFFF"/>
        </w:rPr>
        <w:t>, as stated above,</w:t>
      </w:r>
      <w:r w:rsidR="0016786E">
        <w:rPr>
          <w:rFonts w:ascii="Times New Roman" w:hAnsi="Times New Roman" w:cs="Times New Roman"/>
          <w:color w:val="000000"/>
          <w:sz w:val="24"/>
          <w:szCs w:val="24"/>
          <w:shd w:val="clear" w:color="auto" w:fill="FFFFFF"/>
        </w:rPr>
        <w:t xml:space="preserve"> it </w:t>
      </w:r>
      <w:proofErr w:type="gramStart"/>
      <w:r w:rsidR="0016786E">
        <w:rPr>
          <w:rFonts w:ascii="Times New Roman" w:hAnsi="Times New Roman" w:cs="Times New Roman"/>
          <w:color w:val="000000"/>
          <w:sz w:val="24"/>
          <w:szCs w:val="24"/>
          <w:shd w:val="clear" w:color="auto" w:fill="FFFFFF"/>
        </w:rPr>
        <w:t>has to</w:t>
      </w:r>
      <w:proofErr w:type="gramEnd"/>
      <w:r w:rsidR="0016786E">
        <w:rPr>
          <w:rFonts w:ascii="Times New Roman" w:hAnsi="Times New Roman" w:cs="Times New Roman"/>
          <w:color w:val="000000"/>
          <w:sz w:val="24"/>
          <w:szCs w:val="24"/>
          <w:shd w:val="clear" w:color="auto" w:fill="FFFFFF"/>
        </w:rPr>
        <w:t xml:space="preserve"> be interpreted as obtained. Indeed,</w:t>
      </w:r>
      <w:r w:rsidR="00676D87">
        <w:rPr>
          <w:rFonts w:ascii="Times New Roman" w:hAnsi="Times New Roman" w:cs="Times New Roman"/>
          <w:color w:val="000000"/>
          <w:sz w:val="24"/>
          <w:szCs w:val="24"/>
          <w:shd w:val="clear" w:color="auto" w:fill="FFFFFF"/>
        </w:rPr>
        <w:t xml:space="preserve"> </w:t>
      </w:r>
      <w:r w:rsidR="0008379B" w:rsidRPr="006F2378">
        <w:rPr>
          <w:rFonts w:ascii="Times New Roman" w:hAnsi="Times New Roman" w:cs="Times New Roman"/>
          <w:sz w:val="24"/>
          <w:szCs w:val="24"/>
        </w:rPr>
        <w:t xml:space="preserve">if </w:t>
      </w:r>
      <w:r w:rsidR="00D2328A">
        <w:rPr>
          <w:rFonts w:ascii="Times New Roman" w:hAnsi="Times New Roman" w:cs="Times New Roman"/>
          <w:sz w:val="24"/>
          <w:szCs w:val="24"/>
        </w:rPr>
        <w:t>“</w:t>
      </w:r>
      <w:r w:rsidR="0008379B" w:rsidRPr="006F2378">
        <w:rPr>
          <w:rFonts w:ascii="Times New Roman" w:hAnsi="Times New Roman" w:cs="Times New Roman"/>
          <w:i/>
          <w:sz w:val="24"/>
          <w:szCs w:val="24"/>
        </w:rPr>
        <w:t>this process leads to the discovery of correlation</w:t>
      </w:r>
      <w:r w:rsidR="00D2328A">
        <w:rPr>
          <w:rFonts w:ascii="Times New Roman" w:hAnsi="Times New Roman" w:cs="Times New Roman"/>
          <w:i/>
          <w:sz w:val="24"/>
          <w:szCs w:val="24"/>
        </w:rPr>
        <w:t>s</w:t>
      </w:r>
      <w:r w:rsidR="0008379B" w:rsidRPr="006F2378">
        <w:rPr>
          <w:rFonts w:ascii="Times New Roman" w:hAnsi="Times New Roman" w:cs="Times New Roman"/>
          <w:i/>
          <w:sz w:val="24"/>
          <w:szCs w:val="24"/>
        </w:rPr>
        <w:t xml:space="preserve"> between existing data</w:t>
      </w:r>
      <w:r w:rsidR="00D2328A">
        <w:rPr>
          <w:rFonts w:ascii="Times New Roman" w:hAnsi="Times New Roman" w:cs="Times New Roman"/>
          <w:sz w:val="24"/>
          <w:szCs w:val="24"/>
        </w:rPr>
        <w:t>”,</w:t>
      </w:r>
      <w:r w:rsidR="00676D87">
        <w:rPr>
          <w:rStyle w:val="FootnoteReference"/>
          <w:rFonts w:ascii="Times New Roman" w:hAnsi="Times New Roman" w:cs="Times New Roman"/>
          <w:sz w:val="24"/>
          <w:szCs w:val="24"/>
        </w:rPr>
        <w:footnoteReference w:id="76"/>
      </w:r>
      <w:r w:rsidR="0008379B" w:rsidRPr="006F2378">
        <w:rPr>
          <w:rFonts w:ascii="Times New Roman" w:hAnsi="Times New Roman" w:cs="Times New Roman"/>
          <w:sz w:val="24"/>
          <w:szCs w:val="24"/>
        </w:rPr>
        <w:t xml:space="preserve"> then it could be equated (</w:t>
      </w:r>
      <w:r w:rsidR="0008379B" w:rsidRPr="006F2378">
        <w:rPr>
          <w:rFonts w:ascii="Times New Roman" w:hAnsi="Times New Roman" w:cs="Times New Roman"/>
          <w:i/>
          <w:sz w:val="24"/>
          <w:szCs w:val="24"/>
        </w:rPr>
        <w:t>mutatis mutandis</w:t>
      </w:r>
      <w:r w:rsidR="00676D87">
        <w:rPr>
          <w:rFonts w:ascii="Times New Roman" w:hAnsi="Times New Roman" w:cs="Times New Roman"/>
          <w:sz w:val="24"/>
          <w:szCs w:val="24"/>
        </w:rPr>
        <w:t>,</w:t>
      </w:r>
      <w:r w:rsidR="0008379B" w:rsidRPr="006F2378">
        <w:rPr>
          <w:rFonts w:ascii="Times New Roman" w:hAnsi="Times New Roman" w:cs="Times New Roman"/>
          <w:sz w:val="24"/>
          <w:szCs w:val="24"/>
        </w:rPr>
        <w:t xml:space="preserve"> of course</w:t>
      </w:r>
      <w:r w:rsidR="00676D87">
        <w:rPr>
          <w:rFonts w:ascii="Times New Roman" w:hAnsi="Times New Roman" w:cs="Times New Roman"/>
          <w:sz w:val="24"/>
          <w:szCs w:val="24"/>
        </w:rPr>
        <w:t>,</w:t>
      </w:r>
      <w:r w:rsidR="0008379B" w:rsidRPr="006F2378">
        <w:rPr>
          <w:rFonts w:ascii="Times New Roman" w:hAnsi="Times New Roman" w:cs="Times New Roman"/>
          <w:sz w:val="24"/>
          <w:szCs w:val="24"/>
        </w:rPr>
        <w:t xml:space="preserve"> and with an incredibly higher level of complexity) to the measuring of the distance between two places. Like distance, </w:t>
      </w:r>
      <w:r w:rsidR="00D2328A">
        <w:rPr>
          <w:rFonts w:ascii="Times New Roman" w:hAnsi="Times New Roman" w:cs="Times New Roman"/>
          <w:sz w:val="24"/>
          <w:szCs w:val="24"/>
        </w:rPr>
        <w:t xml:space="preserve">such </w:t>
      </w:r>
      <w:r w:rsidR="0008379B" w:rsidRPr="006F2378">
        <w:rPr>
          <w:rFonts w:ascii="Times New Roman" w:hAnsi="Times New Roman" w:cs="Times New Roman"/>
          <w:sz w:val="24"/>
          <w:szCs w:val="24"/>
        </w:rPr>
        <w:t>correlation is something that pre-exist</w:t>
      </w:r>
      <w:r w:rsidR="00382838">
        <w:rPr>
          <w:rFonts w:ascii="Times New Roman" w:hAnsi="Times New Roman" w:cs="Times New Roman"/>
          <w:sz w:val="24"/>
          <w:szCs w:val="24"/>
        </w:rPr>
        <w:t>s</w:t>
      </w:r>
      <w:r w:rsidR="0008379B" w:rsidRPr="006F2378">
        <w:rPr>
          <w:rFonts w:ascii="Times New Roman" w:hAnsi="Times New Roman" w:cs="Times New Roman"/>
          <w:sz w:val="24"/>
          <w:szCs w:val="24"/>
        </w:rPr>
        <w:t xml:space="preserve"> </w:t>
      </w:r>
      <w:r w:rsidR="00D2328A">
        <w:rPr>
          <w:rFonts w:ascii="Times New Roman" w:hAnsi="Times New Roman" w:cs="Times New Roman"/>
          <w:sz w:val="24"/>
          <w:szCs w:val="24"/>
        </w:rPr>
        <w:t>its</w:t>
      </w:r>
      <w:r w:rsidR="0008379B" w:rsidRPr="006F2378">
        <w:rPr>
          <w:rFonts w:ascii="Times New Roman" w:hAnsi="Times New Roman" w:cs="Times New Roman"/>
          <w:sz w:val="24"/>
          <w:szCs w:val="24"/>
        </w:rPr>
        <w:t xml:space="preserve"> collection and</w:t>
      </w:r>
      <w:r w:rsidR="00D2328A">
        <w:rPr>
          <w:rFonts w:ascii="Times New Roman" w:hAnsi="Times New Roman" w:cs="Times New Roman"/>
          <w:sz w:val="24"/>
          <w:szCs w:val="24"/>
        </w:rPr>
        <w:t xml:space="preserve"> therefore </w:t>
      </w:r>
      <w:r w:rsidR="0008379B" w:rsidRPr="006F2378">
        <w:rPr>
          <w:rFonts w:ascii="Times New Roman" w:hAnsi="Times New Roman" w:cs="Times New Roman"/>
          <w:sz w:val="24"/>
          <w:szCs w:val="24"/>
        </w:rPr>
        <w:t>c</w:t>
      </w:r>
      <w:r w:rsidR="007F16A9">
        <w:rPr>
          <w:rFonts w:ascii="Times New Roman" w:hAnsi="Times New Roman" w:cs="Times New Roman"/>
          <w:sz w:val="24"/>
          <w:szCs w:val="24"/>
        </w:rPr>
        <w:t>annot</w:t>
      </w:r>
      <w:r w:rsidR="0008379B" w:rsidRPr="006F2378">
        <w:rPr>
          <w:rFonts w:ascii="Times New Roman" w:hAnsi="Times New Roman" w:cs="Times New Roman"/>
          <w:sz w:val="24"/>
          <w:szCs w:val="24"/>
        </w:rPr>
        <w:t xml:space="preserve"> be deemed to be created</w:t>
      </w:r>
      <w:r w:rsidR="00676D87">
        <w:rPr>
          <w:rFonts w:ascii="Times New Roman" w:hAnsi="Times New Roman" w:cs="Times New Roman"/>
          <w:sz w:val="24"/>
          <w:szCs w:val="24"/>
        </w:rPr>
        <w:t>.</w:t>
      </w:r>
    </w:p>
    <w:p w14:paraId="7E851B0B" w14:textId="77777777" w:rsidR="00D2328A" w:rsidRDefault="00D2328A" w:rsidP="00271AA1">
      <w:pPr>
        <w:spacing w:after="0" w:line="240" w:lineRule="auto"/>
        <w:jc w:val="both"/>
        <w:rPr>
          <w:rFonts w:ascii="Times New Roman" w:hAnsi="Times New Roman" w:cs="Times New Roman"/>
          <w:sz w:val="24"/>
          <w:szCs w:val="24"/>
        </w:rPr>
      </w:pPr>
    </w:p>
    <w:p w14:paraId="377E846B" w14:textId="00783D84" w:rsidR="00A87A6D" w:rsidRDefault="006253EA"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even </w:t>
      </w:r>
      <w:r w:rsidR="00D2328A">
        <w:rPr>
          <w:rFonts w:ascii="Times New Roman" w:hAnsi="Times New Roman" w:cs="Times New Roman"/>
          <w:sz w:val="24"/>
          <w:szCs w:val="24"/>
        </w:rPr>
        <w:t xml:space="preserve">if </w:t>
      </w:r>
      <w:r>
        <w:rPr>
          <w:rFonts w:ascii="Times New Roman" w:hAnsi="Times New Roman" w:cs="Times New Roman"/>
          <w:sz w:val="24"/>
          <w:szCs w:val="24"/>
        </w:rPr>
        <w:t xml:space="preserve">such data </w:t>
      </w:r>
      <w:r w:rsidR="00D2328A">
        <w:rPr>
          <w:rFonts w:ascii="Times New Roman" w:hAnsi="Times New Roman" w:cs="Times New Roman"/>
          <w:sz w:val="24"/>
          <w:szCs w:val="24"/>
        </w:rPr>
        <w:t xml:space="preserve">were </w:t>
      </w:r>
      <w:r>
        <w:rPr>
          <w:rFonts w:ascii="Times New Roman" w:hAnsi="Times New Roman" w:cs="Times New Roman"/>
          <w:sz w:val="24"/>
          <w:szCs w:val="24"/>
        </w:rPr>
        <w:t>created and not obtained, we should consider the possibility of a substantial investment in verifying or – more likely – presenting the data.</w:t>
      </w:r>
      <w:r w:rsidR="00EF0E94">
        <w:rPr>
          <w:rFonts w:ascii="Times New Roman" w:hAnsi="Times New Roman" w:cs="Times New Roman"/>
          <w:sz w:val="24"/>
          <w:szCs w:val="24"/>
        </w:rPr>
        <w:t xml:space="preserve"> For instance</w:t>
      </w:r>
      <w:r w:rsidR="009D3964">
        <w:rPr>
          <w:rFonts w:ascii="Times New Roman" w:hAnsi="Times New Roman" w:cs="Times New Roman"/>
          <w:sz w:val="24"/>
          <w:szCs w:val="24"/>
        </w:rPr>
        <w:t>, e</w:t>
      </w:r>
      <w:r w:rsidR="00FD2361">
        <w:rPr>
          <w:rFonts w:ascii="Times New Roman" w:hAnsi="Times New Roman" w:cs="Times New Roman"/>
          <w:sz w:val="24"/>
          <w:szCs w:val="24"/>
        </w:rPr>
        <w:t xml:space="preserve">specially </w:t>
      </w:r>
      <w:r w:rsidR="00D2328A">
        <w:rPr>
          <w:rFonts w:ascii="Times New Roman" w:hAnsi="Times New Roman" w:cs="Times New Roman"/>
          <w:sz w:val="24"/>
          <w:szCs w:val="24"/>
        </w:rPr>
        <w:t xml:space="preserve">in the case of </w:t>
      </w:r>
      <w:r w:rsidR="009D3964">
        <w:rPr>
          <w:rFonts w:ascii="Times New Roman" w:hAnsi="Times New Roman" w:cs="Times New Roman"/>
          <w:sz w:val="24"/>
          <w:szCs w:val="24"/>
        </w:rPr>
        <w:t>sensor-recorded data</w:t>
      </w:r>
      <w:r w:rsidR="00A24920">
        <w:rPr>
          <w:rFonts w:ascii="Times New Roman" w:hAnsi="Times New Roman" w:cs="Times New Roman"/>
          <w:sz w:val="24"/>
          <w:szCs w:val="24"/>
        </w:rPr>
        <w:t xml:space="preserve">, </w:t>
      </w:r>
      <w:r w:rsidR="00FD2361">
        <w:rPr>
          <w:rFonts w:ascii="Times New Roman" w:hAnsi="Times New Roman" w:cs="Times New Roman"/>
          <w:sz w:val="24"/>
          <w:szCs w:val="24"/>
        </w:rPr>
        <w:t xml:space="preserve">it is possible that </w:t>
      </w:r>
      <w:r w:rsidR="00D2328A">
        <w:rPr>
          <w:rFonts w:ascii="Times New Roman" w:hAnsi="Times New Roman" w:cs="Times New Roman"/>
          <w:sz w:val="24"/>
          <w:szCs w:val="24"/>
        </w:rPr>
        <w:t xml:space="preserve">the </w:t>
      </w:r>
      <w:r w:rsidR="00FD2361">
        <w:rPr>
          <w:rFonts w:ascii="Times New Roman" w:hAnsi="Times New Roman" w:cs="Times New Roman"/>
          <w:sz w:val="24"/>
          <w:szCs w:val="24"/>
        </w:rPr>
        <w:t xml:space="preserve">data </w:t>
      </w:r>
      <w:r w:rsidR="00B5789C">
        <w:rPr>
          <w:rFonts w:ascii="Times New Roman" w:hAnsi="Times New Roman" w:cs="Times New Roman"/>
          <w:sz w:val="24"/>
          <w:szCs w:val="24"/>
        </w:rPr>
        <w:t>would be</w:t>
      </w:r>
      <w:r w:rsidR="00FD2361">
        <w:rPr>
          <w:rFonts w:ascii="Times New Roman" w:hAnsi="Times New Roman" w:cs="Times New Roman"/>
          <w:sz w:val="24"/>
          <w:szCs w:val="24"/>
        </w:rPr>
        <w:t xml:space="preserve"> collected in a disorganized way. The same </w:t>
      </w:r>
      <w:r w:rsidR="00D2328A">
        <w:rPr>
          <w:rFonts w:ascii="Times New Roman" w:hAnsi="Times New Roman" w:cs="Times New Roman"/>
          <w:sz w:val="24"/>
          <w:szCs w:val="24"/>
        </w:rPr>
        <w:t xml:space="preserve">is true of </w:t>
      </w:r>
      <w:r w:rsidR="00FD2361">
        <w:rPr>
          <w:rFonts w:ascii="Times New Roman" w:hAnsi="Times New Roman" w:cs="Times New Roman"/>
          <w:sz w:val="24"/>
          <w:szCs w:val="24"/>
        </w:rPr>
        <w:t>the data flow deriving from the use of social networks.</w:t>
      </w:r>
      <w:r w:rsidR="00FD2361">
        <w:rPr>
          <w:rStyle w:val="FootnoteReference"/>
          <w:rFonts w:ascii="Times New Roman" w:hAnsi="Times New Roman" w:cs="Times New Roman"/>
          <w:sz w:val="24"/>
          <w:szCs w:val="24"/>
        </w:rPr>
        <w:footnoteReference w:id="77"/>
      </w:r>
    </w:p>
    <w:p w14:paraId="58410453" w14:textId="77777777" w:rsidR="00D2328A" w:rsidRDefault="00D2328A" w:rsidP="00271AA1">
      <w:pPr>
        <w:spacing w:after="0" w:line="240" w:lineRule="auto"/>
        <w:jc w:val="both"/>
        <w:rPr>
          <w:rFonts w:ascii="Times New Roman" w:hAnsi="Times New Roman" w:cs="Times New Roman"/>
          <w:sz w:val="24"/>
          <w:szCs w:val="24"/>
        </w:rPr>
      </w:pPr>
    </w:p>
    <w:p w14:paraId="44D8B013" w14:textId="4C035AFE" w:rsidR="00B167C5" w:rsidRDefault="00A87A6D" w:rsidP="00271A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Moving </w:t>
      </w:r>
      <w:r w:rsidR="00D2328A">
        <w:rPr>
          <w:rFonts w:ascii="Times New Roman" w:hAnsi="Times New Roman" w:cs="Times New Roman"/>
          <w:sz w:val="24"/>
          <w:szCs w:val="24"/>
        </w:rPr>
        <w:t xml:space="preserve">on </w:t>
      </w:r>
      <w:r>
        <w:rPr>
          <w:rFonts w:ascii="Times New Roman" w:hAnsi="Times New Roman" w:cs="Times New Roman"/>
          <w:sz w:val="24"/>
          <w:szCs w:val="24"/>
        </w:rPr>
        <w:t>t</w:t>
      </w:r>
      <w:r w:rsidR="007D3680">
        <w:rPr>
          <w:rFonts w:ascii="Times New Roman" w:hAnsi="Times New Roman" w:cs="Times New Roman"/>
          <w:sz w:val="24"/>
          <w:szCs w:val="24"/>
        </w:rPr>
        <w:t xml:space="preserve">o the substantiality threshold </w:t>
      </w:r>
      <w:r w:rsidR="00D2328A">
        <w:rPr>
          <w:rFonts w:ascii="Times New Roman" w:hAnsi="Times New Roman" w:cs="Times New Roman"/>
          <w:sz w:val="24"/>
          <w:szCs w:val="24"/>
        </w:rPr>
        <w:t xml:space="preserve">(which </w:t>
      </w:r>
      <w:proofErr w:type="gramStart"/>
      <w:r w:rsidR="007D3680">
        <w:rPr>
          <w:rFonts w:ascii="Times New Roman" w:hAnsi="Times New Roman" w:cs="Times New Roman"/>
          <w:sz w:val="24"/>
          <w:szCs w:val="24"/>
        </w:rPr>
        <w:t>has to</w:t>
      </w:r>
      <w:proofErr w:type="gramEnd"/>
      <w:r w:rsidR="007D3680">
        <w:rPr>
          <w:rFonts w:ascii="Times New Roman" w:hAnsi="Times New Roman" w:cs="Times New Roman"/>
          <w:sz w:val="24"/>
          <w:szCs w:val="24"/>
        </w:rPr>
        <w:t xml:space="preserve"> be low</w:t>
      </w:r>
      <w:r w:rsidR="00D2328A">
        <w:rPr>
          <w:rFonts w:ascii="Times New Roman" w:hAnsi="Times New Roman" w:cs="Times New Roman"/>
          <w:sz w:val="24"/>
          <w:szCs w:val="24"/>
        </w:rPr>
        <w:t>),</w:t>
      </w:r>
      <w:r w:rsidR="007D3680">
        <w:rPr>
          <w:rFonts w:ascii="Times New Roman" w:hAnsi="Times New Roman" w:cs="Times New Roman"/>
          <w:sz w:val="24"/>
          <w:szCs w:val="24"/>
        </w:rPr>
        <w:t xml:space="preserve"> </w:t>
      </w:r>
      <w:r w:rsidR="000604C0">
        <w:rPr>
          <w:rFonts w:ascii="Times New Roman" w:hAnsi="Times New Roman" w:cs="Times New Roman"/>
          <w:sz w:val="24"/>
          <w:szCs w:val="24"/>
        </w:rPr>
        <w:t>develop</w:t>
      </w:r>
      <w:r w:rsidR="007D3680">
        <w:rPr>
          <w:rFonts w:ascii="Times New Roman" w:hAnsi="Times New Roman" w:cs="Times New Roman"/>
          <w:sz w:val="24"/>
          <w:szCs w:val="24"/>
        </w:rPr>
        <w:t>ment of</w:t>
      </w:r>
      <w:r w:rsidR="000604C0">
        <w:rPr>
          <w:rFonts w:ascii="Times New Roman" w:hAnsi="Times New Roman" w:cs="Times New Roman"/>
          <w:sz w:val="24"/>
          <w:szCs w:val="24"/>
        </w:rPr>
        <w:t xml:space="preserve"> the algorith</w:t>
      </w:r>
      <w:r w:rsidR="007D3680">
        <w:rPr>
          <w:rFonts w:ascii="Times New Roman" w:hAnsi="Times New Roman" w:cs="Times New Roman"/>
          <w:sz w:val="24"/>
          <w:szCs w:val="24"/>
        </w:rPr>
        <w:t>m and</w:t>
      </w:r>
      <w:r w:rsidR="00216BD7">
        <w:rPr>
          <w:rFonts w:ascii="Times New Roman" w:hAnsi="Times New Roman" w:cs="Times New Roman"/>
          <w:sz w:val="24"/>
          <w:szCs w:val="24"/>
        </w:rPr>
        <w:t xml:space="preserve"> </w:t>
      </w:r>
      <w:r w:rsidR="007D3680">
        <w:rPr>
          <w:rFonts w:ascii="Times New Roman" w:hAnsi="Times New Roman" w:cs="Times New Roman"/>
          <w:sz w:val="24"/>
          <w:szCs w:val="24"/>
        </w:rPr>
        <w:t>the system itself require</w:t>
      </w:r>
      <w:r w:rsidR="00216BD7">
        <w:rPr>
          <w:rFonts w:ascii="Times New Roman" w:hAnsi="Times New Roman" w:cs="Times New Roman"/>
          <w:sz w:val="24"/>
          <w:szCs w:val="24"/>
        </w:rPr>
        <w:t>s</w:t>
      </w:r>
      <w:r w:rsidR="000604C0">
        <w:rPr>
          <w:rFonts w:ascii="Times New Roman" w:hAnsi="Times New Roman" w:cs="Times New Roman"/>
          <w:sz w:val="24"/>
          <w:szCs w:val="24"/>
        </w:rPr>
        <w:t xml:space="preserve"> an investment in </w:t>
      </w:r>
      <w:r w:rsidR="00D2328A">
        <w:rPr>
          <w:rFonts w:ascii="Times New Roman" w:hAnsi="Times New Roman" w:cs="Times New Roman"/>
          <w:sz w:val="24"/>
          <w:szCs w:val="24"/>
        </w:rPr>
        <w:t xml:space="preserve">time and </w:t>
      </w:r>
      <w:r w:rsidR="000604C0">
        <w:rPr>
          <w:rFonts w:ascii="Times New Roman" w:hAnsi="Times New Roman" w:cs="Times New Roman"/>
          <w:sz w:val="24"/>
          <w:szCs w:val="24"/>
        </w:rPr>
        <w:t>money, and eventually – if a development team has to be created –</w:t>
      </w:r>
      <w:r w:rsidR="00752F47">
        <w:rPr>
          <w:rFonts w:ascii="Times New Roman" w:hAnsi="Times New Roman" w:cs="Times New Roman"/>
          <w:sz w:val="24"/>
          <w:szCs w:val="24"/>
        </w:rPr>
        <w:t xml:space="preserve"> in “human relationships”</w:t>
      </w:r>
      <w:r w:rsidR="0009001C">
        <w:rPr>
          <w:rFonts w:ascii="Times New Roman" w:hAnsi="Times New Roman" w:cs="Times New Roman"/>
          <w:sz w:val="24"/>
          <w:szCs w:val="24"/>
        </w:rPr>
        <w:t xml:space="preserve">. </w:t>
      </w:r>
      <w:r w:rsidR="00D2328A">
        <w:rPr>
          <w:rFonts w:ascii="Times New Roman" w:hAnsi="Times New Roman" w:cs="Times New Roman"/>
          <w:sz w:val="24"/>
          <w:szCs w:val="24"/>
        </w:rPr>
        <w:t xml:space="preserve">Also </w:t>
      </w:r>
      <w:r w:rsidR="0009001C">
        <w:rPr>
          <w:rFonts w:ascii="Times New Roman" w:hAnsi="Times New Roman" w:cs="Times New Roman"/>
          <w:sz w:val="24"/>
          <w:szCs w:val="24"/>
        </w:rPr>
        <w:t>critical</w:t>
      </w:r>
      <w:r w:rsidR="000604C0">
        <w:rPr>
          <w:rFonts w:ascii="Times New Roman" w:hAnsi="Times New Roman" w:cs="Times New Roman"/>
          <w:sz w:val="24"/>
          <w:szCs w:val="24"/>
        </w:rPr>
        <w:t xml:space="preserve"> for the functioning of an AI system is its training.</w:t>
      </w:r>
      <w:r w:rsidR="007D3680">
        <w:rPr>
          <w:rFonts w:ascii="Times New Roman" w:hAnsi="Times New Roman" w:cs="Times New Roman"/>
          <w:sz w:val="24"/>
          <w:szCs w:val="24"/>
        </w:rPr>
        <w:t xml:space="preserve"> As we</w:t>
      </w:r>
      <w:r w:rsidR="0009001C">
        <w:rPr>
          <w:rFonts w:ascii="Times New Roman" w:hAnsi="Times New Roman" w:cs="Times New Roman"/>
          <w:sz w:val="24"/>
          <w:szCs w:val="24"/>
        </w:rPr>
        <w:t xml:space="preserve"> have</w:t>
      </w:r>
      <w:r w:rsidR="007D3680">
        <w:rPr>
          <w:rFonts w:ascii="Times New Roman" w:hAnsi="Times New Roman" w:cs="Times New Roman"/>
          <w:sz w:val="24"/>
          <w:szCs w:val="24"/>
        </w:rPr>
        <w:t xml:space="preserve"> seen above</w:t>
      </w:r>
      <w:r w:rsidR="00D2328A">
        <w:rPr>
          <w:rFonts w:ascii="Times New Roman" w:hAnsi="Times New Roman" w:cs="Times New Roman"/>
          <w:sz w:val="24"/>
          <w:szCs w:val="24"/>
        </w:rPr>
        <w:t>,</w:t>
      </w:r>
      <w:r w:rsidR="007D3680">
        <w:rPr>
          <w:rFonts w:ascii="Times New Roman" w:hAnsi="Times New Roman" w:cs="Times New Roman"/>
          <w:sz w:val="24"/>
          <w:szCs w:val="24"/>
        </w:rPr>
        <w:t xml:space="preserve"> t</w:t>
      </w:r>
      <w:r w:rsidR="000604C0">
        <w:rPr>
          <w:rFonts w:ascii="Times New Roman" w:hAnsi="Times New Roman" w:cs="Times New Roman"/>
          <w:sz w:val="24"/>
          <w:szCs w:val="24"/>
        </w:rPr>
        <w:t>his</w:t>
      </w:r>
      <w:r w:rsidR="007D3680">
        <w:rPr>
          <w:rFonts w:ascii="Times New Roman" w:hAnsi="Times New Roman" w:cs="Times New Roman"/>
          <w:sz w:val="24"/>
          <w:szCs w:val="24"/>
        </w:rPr>
        <w:t xml:space="preserve"> activity</w:t>
      </w:r>
      <w:r w:rsidR="000604C0">
        <w:rPr>
          <w:rFonts w:ascii="Times New Roman" w:hAnsi="Times New Roman" w:cs="Times New Roman"/>
          <w:sz w:val="24"/>
          <w:szCs w:val="24"/>
        </w:rPr>
        <w:t xml:space="preserve"> may </w:t>
      </w:r>
      <w:r w:rsidR="00D2328A">
        <w:rPr>
          <w:rFonts w:ascii="Times New Roman" w:hAnsi="Times New Roman" w:cs="Times New Roman"/>
          <w:sz w:val="24"/>
          <w:szCs w:val="24"/>
        </w:rPr>
        <w:t xml:space="preserve">or may not </w:t>
      </w:r>
      <w:r w:rsidR="000604C0">
        <w:rPr>
          <w:rFonts w:ascii="Times New Roman" w:hAnsi="Times New Roman" w:cs="Times New Roman"/>
          <w:sz w:val="24"/>
          <w:szCs w:val="24"/>
        </w:rPr>
        <w:t>entail human intervention (</w:t>
      </w:r>
      <w:proofErr w:type="gramStart"/>
      <w:r w:rsidR="000604C0">
        <w:rPr>
          <w:rFonts w:ascii="Times New Roman" w:hAnsi="Times New Roman" w:cs="Times New Roman"/>
          <w:sz w:val="24"/>
          <w:szCs w:val="24"/>
        </w:rPr>
        <w:t>e.g.</w:t>
      </w:r>
      <w:proofErr w:type="gramEnd"/>
      <w:r w:rsidR="000604C0">
        <w:rPr>
          <w:rFonts w:ascii="Times New Roman" w:hAnsi="Times New Roman" w:cs="Times New Roman"/>
          <w:sz w:val="24"/>
          <w:szCs w:val="24"/>
        </w:rPr>
        <w:t xml:space="preserve"> in the labelling</w:t>
      </w:r>
      <w:r w:rsidR="00D2328A">
        <w:rPr>
          <w:rFonts w:ascii="Times New Roman" w:hAnsi="Times New Roman" w:cs="Times New Roman"/>
          <w:sz w:val="24"/>
          <w:szCs w:val="24"/>
        </w:rPr>
        <w:t xml:space="preserve"> process</w:t>
      </w:r>
      <w:r w:rsidR="000604C0">
        <w:rPr>
          <w:rFonts w:ascii="Times New Roman" w:hAnsi="Times New Roman" w:cs="Times New Roman"/>
          <w:sz w:val="24"/>
          <w:szCs w:val="24"/>
        </w:rPr>
        <w:t>)</w:t>
      </w:r>
      <w:r w:rsidR="007D3680">
        <w:rPr>
          <w:rFonts w:ascii="Times New Roman" w:hAnsi="Times New Roman" w:cs="Times New Roman"/>
          <w:sz w:val="24"/>
          <w:szCs w:val="24"/>
        </w:rPr>
        <w:t>. Again</w:t>
      </w:r>
      <w:r w:rsidR="00216BD7">
        <w:rPr>
          <w:rFonts w:ascii="Times New Roman" w:hAnsi="Times New Roman" w:cs="Times New Roman"/>
          <w:sz w:val="24"/>
          <w:szCs w:val="24"/>
        </w:rPr>
        <w:t>,</w:t>
      </w:r>
      <w:r w:rsidR="007D3680">
        <w:rPr>
          <w:rFonts w:ascii="Times New Roman" w:hAnsi="Times New Roman" w:cs="Times New Roman"/>
          <w:sz w:val="24"/>
          <w:szCs w:val="24"/>
        </w:rPr>
        <w:t xml:space="preserve"> this human intervention amounts to an investment</w:t>
      </w:r>
      <w:r w:rsidR="00216BD7">
        <w:rPr>
          <w:rFonts w:ascii="Times New Roman" w:hAnsi="Times New Roman" w:cs="Times New Roman"/>
          <w:sz w:val="24"/>
          <w:szCs w:val="24"/>
        </w:rPr>
        <w:t xml:space="preserve">. </w:t>
      </w:r>
      <w:r w:rsidR="00D2328A">
        <w:rPr>
          <w:rFonts w:ascii="Times New Roman" w:hAnsi="Times New Roman" w:cs="Times New Roman"/>
          <w:sz w:val="24"/>
          <w:szCs w:val="24"/>
        </w:rPr>
        <w:t xml:space="preserve">Where </w:t>
      </w:r>
      <w:r w:rsidR="00216BD7">
        <w:rPr>
          <w:rFonts w:ascii="Times New Roman" w:hAnsi="Times New Roman" w:cs="Times New Roman"/>
          <w:sz w:val="24"/>
          <w:szCs w:val="24"/>
        </w:rPr>
        <w:t>this requirement</w:t>
      </w:r>
      <w:r w:rsidR="00D2328A">
        <w:rPr>
          <w:rFonts w:ascii="Times New Roman" w:hAnsi="Times New Roman" w:cs="Times New Roman"/>
          <w:sz w:val="24"/>
          <w:szCs w:val="24"/>
        </w:rPr>
        <w:t xml:space="preserve"> is concerned</w:t>
      </w:r>
      <w:r w:rsidR="00216BD7">
        <w:rPr>
          <w:rFonts w:ascii="Times New Roman" w:hAnsi="Times New Roman" w:cs="Times New Roman"/>
          <w:sz w:val="24"/>
          <w:szCs w:val="24"/>
        </w:rPr>
        <w:t xml:space="preserve">, the main problem seems to </w:t>
      </w:r>
      <w:r w:rsidR="00D2328A">
        <w:rPr>
          <w:rFonts w:ascii="Times New Roman" w:hAnsi="Times New Roman" w:cs="Times New Roman"/>
          <w:sz w:val="24"/>
          <w:szCs w:val="24"/>
        </w:rPr>
        <w:t xml:space="preserve">be in cases </w:t>
      </w:r>
      <w:r w:rsidR="00216BD7">
        <w:rPr>
          <w:rFonts w:ascii="Times New Roman" w:hAnsi="Times New Roman" w:cs="Times New Roman"/>
          <w:sz w:val="24"/>
          <w:szCs w:val="24"/>
        </w:rPr>
        <w:t>in which AI</w:t>
      </w:r>
      <w:r w:rsidR="005B37D5">
        <w:rPr>
          <w:rFonts w:ascii="Times New Roman" w:hAnsi="Times New Roman" w:cs="Times New Roman"/>
          <w:sz w:val="24"/>
          <w:szCs w:val="24"/>
        </w:rPr>
        <w:t xml:space="preserve"> </w:t>
      </w:r>
      <w:proofErr w:type="gramStart"/>
      <w:r w:rsidR="005B37D5">
        <w:rPr>
          <w:rFonts w:ascii="Times New Roman" w:hAnsi="Times New Roman" w:cs="Times New Roman"/>
          <w:sz w:val="24"/>
          <w:szCs w:val="24"/>
        </w:rPr>
        <w:t xml:space="preserve">is capable </w:t>
      </w:r>
      <w:r w:rsidR="00D2328A">
        <w:rPr>
          <w:rFonts w:ascii="Times New Roman" w:hAnsi="Times New Roman" w:cs="Times New Roman"/>
          <w:sz w:val="24"/>
          <w:szCs w:val="24"/>
        </w:rPr>
        <w:t>of</w:t>
      </w:r>
      <w:r w:rsidR="005B37D5">
        <w:rPr>
          <w:rFonts w:ascii="Times New Roman" w:hAnsi="Times New Roman" w:cs="Times New Roman"/>
          <w:sz w:val="24"/>
          <w:szCs w:val="24"/>
        </w:rPr>
        <w:t xml:space="preserve"> produc</w:t>
      </w:r>
      <w:r w:rsidR="00D2328A">
        <w:rPr>
          <w:rFonts w:ascii="Times New Roman" w:hAnsi="Times New Roman" w:cs="Times New Roman"/>
          <w:sz w:val="24"/>
          <w:szCs w:val="24"/>
        </w:rPr>
        <w:t>ing</w:t>
      </w:r>
      <w:proofErr w:type="gramEnd"/>
      <w:r w:rsidR="005B37D5">
        <w:rPr>
          <w:rFonts w:ascii="Times New Roman" w:hAnsi="Times New Roman" w:cs="Times New Roman"/>
          <w:sz w:val="24"/>
          <w:szCs w:val="24"/>
        </w:rPr>
        <w:t xml:space="preserve"> more than one </w:t>
      </w:r>
      <w:r w:rsidR="005B37D5">
        <w:rPr>
          <w:rFonts w:ascii="Times New Roman" w:hAnsi="Times New Roman" w:cs="Times New Roman"/>
          <w:sz w:val="24"/>
          <w:szCs w:val="24"/>
        </w:rPr>
        <w:lastRenderedPageBreak/>
        <w:t>database. Indeed, as correctly pointed out</w:t>
      </w:r>
      <w:r w:rsidR="00A07660">
        <w:rPr>
          <w:rFonts w:ascii="Times New Roman" w:hAnsi="Times New Roman" w:cs="Times New Roman"/>
          <w:sz w:val="24"/>
          <w:szCs w:val="24"/>
        </w:rPr>
        <w:t>,</w:t>
      </w:r>
      <w:r w:rsidR="005B37D5">
        <w:rPr>
          <w:rStyle w:val="FootnoteReference"/>
          <w:rFonts w:ascii="Times New Roman" w:hAnsi="Times New Roman" w:cs="Times New Roman"/>
          <w:sz w:val="24"/>
          <w:szCs w:val="24"/>
        </w:rPr>
        <w:footnoteReference w:id="78"/>
      </w:r>
      <w:r w:rsidR="005B37D5">
        <w:rPr>
          <w:rFonts w:ascii="Times New Roman" w:hAnsi="Times New Roman" w:cs="Times New Roman"/>
          <w:sz w:val="24"/>
          <w:szCs w:val="24"/>
        </w:rPr>
        <w:t xml:space="preserve"> if subsequent production </w:t>
      </w:r>
      <w:r w:rsidR="00D2328A">
        <w:rPr>
          <w:rFonts w:ascii="Times New Roman" w:hAnsi="Times New Roman" w:cs="Times New Roman"/>
          <w:sz w:val="24"/>
          <w:szCs w:val="24"/>
        </w:rPr>
        <w:t>in such cases did</w:t>
      </w:r>
      <w:r w:rsidR="005B37D5">
        <w:rPr>
          <w:rFonts w:ascii="Times New Roman" w:hAnsi="Times New Roman" w:cs="Times New Roman"/>
          <w:sz w:val="24"/>
          <w:szCs w:val="24"/>
        </w:rPr>
        <w:t xml:space="preserve"> not require any new investment</w:t>
      </w:r>
      <w:r w:rsidR="00D2328A">
        <w:rPr>
          <w:rFonts w:ascii="Times New Roman" w:hAnsi="Times New Roman" w:cs="Times New Roman"/>
          <w:sz w:val="24"/>
          <w:szCs w:val="24"/>
        </w:rPr>
        <w:t>,</w:t>
      </w:r>
      <w:r w:rsidR="005B37D5">
        <w:rPr>
          <w:rFonts w:ascii="Times New Roman" w:hAnsi="Times New Roman" w:cs="Times New Roman"/>
          <w:sz w:val="24"/>
          <w:szCs w:val="24"/>
        </w:rPr>
        <w:t xml:space="preserve"> protection would </w:t>
      </w:r>
      <w:r w:rsidR="0009001C">
        <w:rPr>
          <w:rFonts w:ascii="Times New Roman" w:hAnsi="Times New Roman" w:cs="Times New Roman"/>
          <w:sz w:val="24"/>
          <w:szCs w:val="24"/>
        </w:rPr>
        <w:t>not be granted. I</w:t>
      </w:r>
      <w:r w:rsidR="005B37D5">
        <w:rPr>
          <w:rFonts w:ascii="Times New Roman" w:hAnsi="Times New Roman" w:cs="Times New Roman"/>
          <w:sz w:val="24"/>
          <w:szCs w:val="24"/>
        </w:rPr>
        <w:t xml:space="preserve">f creation of </w:t>
      </w:r>
      <w:r w:rsidR="00D2328A">
        <w:rPr>
          <w:rFonts w:ascii="Times New Roman" w:hAnsi="Times New Roman" w:cs="Times New Roman"/>
          <w:sz w:val="24"/>
          <w:szCs w:val="24"/>
        </w:rPr>
        <w:t>a</w:t>
      </w:r>
      <w:r w:rsidR="005B37D5">
        <w:rPr>
          <w:rFonts w:ascii="Times New Roman" w:hAnsi="Times New Roman" w:cs="Times New Roman"/>
          <w:sz w:val="24"/>
          <w:szCs w:val="24"/>
        </w:rPr>
        <w:t xml:space="preserve"> new database require</w:t>
      </w:r>
      <w:r w:rsidR="0009001C">
        <w:rPr>
          <w:rFonts w:ascii="Times New Roman" w:hAnsi="Times New Roman" w:cs="Times New Roman"/>
          <w:sz w:val="24"/>
          <w:szCs w:val="24"/>
        </w:rPr>
        <w:t>s</w:t>
      </w:r>
      <w:r w:rsidR="005B37D5">
        <w:rPr>
          <w:rFonts w:ascii="Times New Roman" w:hAnsi="Times New Roman" w:cs="Times New Roman"/>
          <w:sz w:val="24"/>
          <w:szCs w:val="24"/>
        </w:rPr>
        <w:t xml:space="preserve"> a</w:t>
      </w:r>
      <w:r w:rsidR="00D2328A">
        <w:rPr>
          <w:rFonts w:ascii="Times New Roman" w:hAnsi="Times New Roman" w:cs="Times New Roman"/>
          <w:sz w:val="24"/>
          <w:szCs w:val="24"/>
        </w:rPr>
        <w:t xml:space="preserve"> further</w:t>
      </w:r>
      <w:r w:rsidR="005B37D5">
        <w:rPr>
          <w:rFonts w:ascii="Times New Roman" w:hAnsi="Times New Roman" w:cs="Times New Roman"/>
          <w:sz w:val="24"/>
          <w:szCs w:val="24"/>
        </w:rPr>
        <w:t xml:space="preserve"> “labelling session”</w:t>
      </w:r>
      <w:r w:rsidR="00D2328A">
        <w:rPr>
          <w:rFonts w:ascii="Times New Roman" w:hAnsi="Times New Roman" w:cs="Times New Roman"/>
          <w:sz w:val="24"/>
          <w:szCs w:val="24"/>
        </w:rPr>
        <w:t>,</w:t>
      </w:r>
      <w:r w:rsidR="005B37D5">
        <w:rPr>
          <w:rFonts w:ascii="Times New Roman" w:hAnsi="Times New Roman" w:cs="Times New Roman"/>
          <w:sz w:val="24"/>
          <w:szCs w:val="24"/>
        </w:rPr>
        <w:t xml:space="preserve"> and</w:t>
      </w:r>
      <w:r w:rsidR="003065C5">
        <w:rPr>
          <w:rFonts w:ascii="Times New Roman" w:hAnsi="Times New Roman" w:cs="Times New Roman"/>
          <w:sz w:val="24"/>
          <w:szCs w:val="24"/>
        </w:rPr>
        <w:t xml:space="preserve"> if</w:t>
      </w:r>
      <w:r w:rsidR="0009001C">
        <w:rPr>
          <w:rFonts w:ascii="Times New Roman" w:hAnsi="Times New Roman" w:cs="Times New Roman"/>
          <w:sz w:val="24"/>
          <w:szCs w:val="24"/>
        </w:rPr>
        <w:t xml:space="preserve"> </w:t>
      </w:r>
      <w:r w:rsidR="00393F19">
        <w:rPr>
          <w:rFonts w:ascii="Times New Roman" w:hAnsi="Times New Roman" w:cs="Times New Roman"/>
          <w:sz w:val="24"/>
          <w:szCs w:val="24"/>
        </w:rPr>
        <w:t>the machine does not carry out such activity automatically</w:t>
      </w:r>
      <w:r w:rsidR="005B37D5">
        <w:rPr>
          <w:rFonts w:ascii="Times New Roman" w:hAnsi="Times New Roman" w:cs="Times New Roman"/>
          <w:sz w:val="24"/>
          <w:szCs w:val="24"/>
        </w:rPr>
        <w:t xml:space="preserve">, </w:t>
      </w:r>
      <w:r w:rsidR="003065C5">
        <w:rPr>
          <w:rFonts w:ascii="Times New Roman" w:hAnsi="Times New Roman" w:cs="Times New Roman"/>
          <w:sz w:val="24"/>
          <w:szCs w:val="24"/>
        </w:rPr>
        <w:t xml:space="preserve">it is possible to </w:t>
      </w:r>
      <w:r w:rsidR="00D2328A">
        <w:rPr>
          <w:rFonts w:ascii="Times New Roman" w:hAnsi="Times New Roman" w:cs="Times New Roman"/>
          <w:sz w:val="24"/>
          <w:szCs w:val="24"/>
        </w:rPr>
        <w:t>claim</w:t>
      </w:r>
      <w:r w:rsidR="003065C5">
        <w:rPr>
          <w:rFonts w:ascii="Times New Roman" w:hAnsi="Times New Roman" w:cs="Times New Roman"/>
          <w:sz w:val="24"/>
          <w:szCs w:val="24"/>
        </w:rPr>
        <w:t xml:space="preserve"> </w:t>
      </w:r>
      <w:r w:rsidR="00A07660">
        <w:rPr>
          <w:rFonts w:ascii="Times New Roman" w:hAnsi="Times New Roman" w:cs="Times New Roman"/>
          <w:sz w:val="24"/>
          <w:szCs w:val="24"/>
        </w:rPr>
        <w:t xml:space="preserve">this as </w:t>
      </w:r>
      <w:r w:rsidR="003065C5">
        <w:rPr>
          <w:rFonts w:ascii="Times New Roman" w:hAnsi="Times New Roman" w:cs="Times New Roman"/>
          <w:sz w:val="24"/>
          <w:szCs w:val="24"/>
        </w:rPr>
        <w:t>a new investment.</w:t>
      </w:r>
      <w:r>
        <w:rPr>
          <w:rFonts w:ascii="Times New Roman" w:hAnsi="Times New Roman" w:cs="Times New Roman"/>
          <w:sz w:val="24"/>
          <w:szCs w:val="24"/>
        </w:rPr>
        <w:t xml:space="preserve"> </w:t>
      </w:r>
    </w:p>
    <w:p w14:paraId="6A4B9D65" w14:textId="7BAAD3E7" w:rsidR="00065C4D" w:rsidRPr="00AB5105" w:rsidRDefault="00154F34" w:rsidP="00AB5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0E21">
        <w:rPr>
          <w:rFonts w:ascii="Times New Roman" w:hAnsi="Times New Roman" w:cs="Times New Roman"/>
          <w:sz w:val="24"/>
          <w:szCs w:val="24"/>
        </w:rPr>
        <w:t xml:space="preserve"> </w:t>
      </w:r>
      <w:r w:rsidR="00745677">
        <w:rPr>
          <w:rFonts w:ascii="Times New Roman" w:hAnsi="Times New Roman" w:cs="Times New Roman"/>
          <w:sz w:val="24"/>
          <w:szCs w:val="24"/>
        </w:rPr>
        <w:t xml:space="preserve"> </w:t>
      </w:r>
      <w:r w:rsidR="00271AA1">
        <w:rPr>
          <w:rFonts w:ascii="Times New Roman" w:hAnsi="Times New Roman" w:cs="Times New Roman"/>
          <w:sz w:val="24"/>
          <w:szCs w:val="24"/>
        </w:rPr>
        <w:t xml:space="preserve"> </w:t>
      </w:r>
      <w:r w:rsidR="004A3CB5">
        <w:rPr>
          <w:rFonts w:ascii="Times New Roman" w:hAnsi="Times New Roman" w:cs="Times New Roman"/>
          <w:sz w:val="24"/>
          <w:szCs w:val="24"/>
        </w:rPr>
        <w:t xml:space="preserve"> </w:t>
      </w:r>
    </w:p>
    <w:p w14:paraId="63903C80" w14:textId="56DA14A8" w:rsidR="00AB5105" w:rsidRPr="00571899" w:rsidRDefault="00DC2150" w:rsidP="00571899">
      <w:pPr>
        <w:pStyle w:val="Titoloperindice"/>
        <w:numPr>
          <w:ilvl w:val="0"/>
          <w:numId w:val="2"/>
        </w:numPr>
      </w:pPr>
      <w:r>
        <w:t>Policy considerations</w:t>
      </w:r>
    </w:p>
    <w:p w14:paraId="4EACA41E" w14:textId="77777777" w:rsidR="00053086" w:rsidRDefault="00053086" w:rsidP="00053086">
      <w:pPr>
        <w:spacing w:after="0" w:line="240" w:lineRule="auto"/>
        <w:jc w:val="both"/>
        <w:rPr>
          <w:rFonts w:ascii="Times New Roman" w:hAnsi="Times New Roman" w:cs="Times New Roman"/>
          <w:b/>
          <w:sz w:val="24"/>
          <w:szCs w:val="24"/>
        </w:rPr>
      </w:pPr>
    </w:p>
    <w:p w14:paraId="5F69AC49" w14:textId="71726CFE" w:rsidR="004336FE" w:rsidRDefault="00053086"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if </w:t>
      </w:r>
      <w:r w:rsidR="00674991">
        <w:rPr>
          <w:rFonts w:ascii="Times New Roman" w:hAnsi="Times New Roman" w:cs="Times New Roman"/>
          <w:sz w:val="24"/>
          <w:szCs w:val="24"/>
        </w:rPr>
        <w:t xml:space="preserve">it were clear </w:t>
      </w:r>
      <w:r>
        <w:rPr>
          <w:rFonts w:ascii="Times New Roman" w:hAnsi="Times New Roman" w:cs="Times New Roman"/>
          <w:sz w:val="24"/>
          <w:szCs w:val="24"/>
        </w:rPr>
        <w:t>that</w:t>
      </w:r>
      <w:r w:rsidR="00674991">
        <w:rPr>
          <w:rFonts w:ascii="Times New Roman" w:hAnsi="Times New Roman" w:cs="Times New Roman"/>
          <w:sz w:val="24"/>
          <w:szCs w:val="24"/>
        </w:rPr>
        <w:t>,</w:t>
      </w:r>
      <w:r>
        <w:rPr>
          <w:rFonts w:ascii="Times New Roman" w:hAnsi="Times New Roman" w:cs="Times New Roman"/>
          <w:sz w:val="24"/>
          <w:szCs w:val="24"/>
        </w:rPr>
        <w:t xml:space="preserve"> </w:t>
      </w:r>
      <w:r w:rsidR="00674991">
        <w:rPr>
          <w:rFonts w:ascii="Times New Roman" w:hAnsi="Times New Roman" w:cs="Times New Roman"/>
          <w:sz w:val="24"/>
          <w:szCs w:val="24"/>
        </w:rPr>
        <w:t xml:space="preserve">despite the evaluation of the European Commission, </w:t>
      </w:r>
      <w:r>
        <w:rPr>
          <w:rFonts w:ascii="Times New Roman" w:hAnsi="Times New Roman" w:cs="Times New Roman"/>
          <w:sz w:val="24"/>
          <w:szCs w:val="24"/>
        </w:rPr>
        <w:t xml:space="preserve">AI-generated databases </w:t>
      </w:r>
      <w:r w:rsidR="00674991">
        <w:rPr>
          <w:rFonts w:ascii="Times New Roman" w:hAnsi="Times New Roman" w:cs="Times New Roman"/>
          <w:sz w:val="24"/>
          <w:szCs w:val="24"/>
        </w:rPr>
        <w:t xml:space="preserve">are </w:t>
      </w:r>
      <w:r>
        <w:rPr>
          <w:rFonts w:ascii="Times New Roman" w:hAnsi="Times New Roman" w:cs="Times New Roman"/>
          <w:sz w:val="24"/>
          <w:szCs w:val="24"/>
        </w:rPr>
        <w:t xml:space="preserve">protectable under </w:t>
      </w:r>
      <w:r w:rsidR="0012349D">
        <w:rPr>
          <w:rFonts w:ascii="Times New Roman" w:hAnsi="Times New Roman" w:cs="Times New Roman"/>
          <w:sz w:val="24"/>
          <w:szCs w:val="24"/>
        </w:rPr>
        <w:t xml:space="preserve">Article </w:t>
      </w:r>
      <w:r>
        <w:rPr>
          <w:rFonts w:ascii="Times New Roman" w:hAnsi="Times New Roman" w:cs="Times New Roman"/>
          <w:sz w:val="24"/>
          <w:szCs w:val="24"/>
        </w:rPr>
        <w:t xml:space="preserve">7 of the Database Directive, the next important question is whether the legal framework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w:t>
      </w:r>
      <w:r w:rsidR="00674991">
        <w:rPr>
          <w:rFonts w:ascii="Times New Roman" w:hAnsi="Times New Roman" w:cs="Times New Roman"/>
          <w:sz w:val="24"/>
          <w:szCs w:val="24"/>
        </w:rPr>
        <w:t>afford</w:t>
      </w:r>
      <w:r>
        <w:rPr>
          <w:rFonts w:ascii="Times New Roman" w:hAnsi="Times New Roman" w:cs="Times New Roman"/>
          <w:sz w:val="24"/>
          <w:szCs w:val="24"/>
        </w:rPr>
        <w:t xml:space="preserve"> sufficient and balanced protection. </w:t>
      </w:r>
      <w:r w:rsidR="005F0B76">
        <w:rPr>
          <w:rFonts w:ascii="Times New Roman" w:hAnsi="Times New Roman" w:cs="Times New Roman"/>
          <w:sz w:val="24"/>
          <w:szCs w:val="24"/>
        </w:rPr>
        <w:t>Unfortunately, the answer seems to be negative.</w:t>
      </w:r>
    </w:p>
    <w:p w14:paraId="33C25BAA" w14:textId="77777777" w:rsidR="00674991" w:rsidRDefault="00674991" w:rsidP="00053086">
      <w:pPr>
        <w:spacing w:after="0" w:line="240" w:lineRule="auto"/>
        <w:jc w:val="both"/>
        <w:rPr>
          <w:rFonts w:ascii="Times New Roman" w:hAnsi="Times New Roman" w:cs="Times New Roman"/>
          <w:sz w:val="24"/>
          <w:szCs w:val="24"/>
        </w:rPr>
      </w:pPr>
    </w:p>
    <w:p w14:paraId="20C6BC51" w14:textId="51B071C4" w:rsidR="00674991" w:rsidRDefault="00053086"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Indeed, as recorded by the study in support of the 2018 Evaluation, nearly half of the database</w:t>
      </w:r>
      <w:r w:rsidR="00674991">
        <w:rPr>
          <w:rFonts w:ascii="Times New Roman" w:hAnsi="Times New Roman" w:cs="Times New Roman"/>
          <w:sz w:val="24"/>
          <w:szCs w:val="24"/>
        </w:rPr>
        <w:t>-</w:t>
      </w:r>
      <w:r>
        <w:rPr>
          <w:rFonts w:ascii="Times New Roman" w:hAnsi="Times New Roman" w:cs="Times New Roman"/>
          <w:sz w:val="24"/>
          <w:szCs w:val="24"/>
        </w:rPr>
        <w:t xml:space="preserve">makers surveyed </w:t>
      </w:r>
      <w:r w:rsidR="00674991">
        <w:rPr>
          <w:rFonts w:ascii="Times New Roman" w:hAnsi="Times New Roman" w:cs="Times New Roman"/>
          <w:sz w:val="24"/>
          <w:szCs w:val="24"/>
        </w:rPr>
        <w:t xml:space="preserve">reported </w:t>
      </w:r>
      <w:r w:rsidR="003418E8">
        <w:rPr>
          <w:rFonts w:ascii="Times New Roman" w:hAnsi="Times New Roman" w:cs="Times New Roman"/>
          <w:sz w:val="24"/>
          <w:szCs w:val="24"/>
        </w:rPr>
        <w:t>that more than half of the contents of the</w:t>
      </w:r>
      <w:r w:rsidR="00674991">
        <w:rPr>
          <w:rFonts w:ascii="Times New Roman" w:hAnsi="Times New Roman" w:cs="Times New Roman"/>
          <w:sz w:val="24"/>
          <w:szCs w:val="24"/>
        </w:rPr>
        <w:t>ir</w:t>
      </w:r>
      <w:r w:rsidR="003418E8">
        <w:rPr>
          <w:rFonts w:ascii="Times New Roman" w:hAnsi="Times New Roman" w:cs="Times New Roman"/>
          <w:sz w:val="24"/>
          <w:szCs w:val="24"/>
        </w:rPr>
        <w:t xml:space="preserve"> databases </w:t>
      </w:r>
      <w:r w:rsidR="00674991">
        <w:rPr>
          <w:rFonts w:ascii="Times New Roman" w:hAnsi="Times New Roman" w:cs="Times New Roman"/>
          <w:sz w:val="24"/>
          <w:szCs w:val="24"/>
        </w:rPr>
        <w:t xml:space="preserve">consisted of </w:t>
      </w:r>
      <w:r w:rsidR="003418E8">
        <w:rPr>
          <w:rFonts w:ascii="Times New Roman" w:hAnsi="Times New Roman" w:cs="Times New Roman"/>
          <w:sz w:val="24"/>
          <w:szCs w:val="24"/>
        </w:rPr>
        <w:t>generated data</w:t>
      </w:r>
      <w:r w:rsidR="00674991">
        <w:rPr>
          <w:rFonts w:ascii="Times New Roman" w:hAnsi="Times New Roman" w:cs="Times New Roman"/>
          <w:sz w:val="24"/>
          <w:szCs w:val="24"/>
        </w:rPr>
        <w:t>.</w:t>
      </w:r>
      <w:r w:rsidR="003418E8">
        <w:rPr>
          <w:rStyle w:val="FootnoteReference"/>
          <w:rFonts w:ascii="Times New Roman" w:hAnsi="Times New Roman" w:cs="Times New Roman"/>
          <w:sz w:val="24"/>
          <w:szCs w:val="24"/>
        </w:rPr>
        <w:footnoteReference w:id="79"/>
      </w:r>
      <w:r w:rsidR="003418E8">
        <w:rPr>
          <w:rFonts w:ascii="Times New Roman" w:hAnsi="Times New Roman" w:cs="Times New Roman"/>
          <w:sz w:val="24"/>
          <w:szCs w:val="24"/>
        </w:rPr>
        <w:t xml:space="preserve"> </w:t>
      </w:r>
      <w:r w:rsidR="00674991">
        <w:rPr>
          <w:rFonts w:ascii="Times New Roman" w:hAnsi="Times New Roman" w:cs="Times New Roman"/>
          <w:sz w:val="24"/>
          <w:szCs w:val="24"/>
        </w:rPr>
        <w:t xml:space="preserve">Going by </w:t>
      </w:r>
      <w:r w:rsidR="003418E8">
        <w:rPr>
          <w:rFonts w:ascii="Times New Roman" w:hAnsi="Times New Roman" w:cs="Times New Roman"/>
          <w:sz w:val="24"/>
          <w:szCs w:val="24"/>
        </w:rPr>
        <w:t>the CJEU</w:t>
      </w:r>
      <w:r w:rsidR="00674991">
        <w:rPr>
          <w:rFonts w:ascii="Times New Roman" w:hAnsi="Times New Roman" w:cs="Times New Roman"/>
          <w:sz w:val="24"/>
          <w:szCs w:val="24"/>
        </w:rPr>
        <w:t>’s interpretation</w:t>
      </w:r>
      <w:r w:rsidR="003418E8">
        <w:rPr>
          <w:rFonts w:ascii="Times New Roman" w:hAnsi="Times New Roman" w:cs="Times New Roman"/>
          <w:sz w:val="24"/>
          <w:szCs w:val="24"/>
        </w:rPr>
        <w:t xml:space="preserve">, </w:t>
      </w:r>
      <w:r w:rsidR="00674991">
        <w:rPr>
          <w:rFonts w:ascii="Times New Roman" w:hAnsi="Times New Roman" w:cs="Times New Roman"/>
          <w:sz w:val="24"/>
          <w:szCs w:val="24"/>
        </w:rPr>
        <w:t xml:space="preserve">not </w:t>
      </w:r>
      <w:r w:rsidR="003418E8">
        <w:rPr>
          <w:rFonts w:ascii="Times New Roman" w:hAnsi="Times New Roman" w:cs="Times New Roman"/>
          <w:sz w:val="24"/>
          <w:szCs w:val="24"/>
        </w:rPr>
        <w:t xml:space="preserve">all these databases </w:t>
      </w:r>
      <w:r w:rsidR="00674991">
        <w:rPr>
          <w:rFonts w:ascii="Times New Roman" w:hAnsi="Times New Roman" w:cs="Times New Roman"/>
          <w:sz w:val="24"/>
          <w:szCs w:val="24"/>
        </w:rPr>
        <w:t>w</w:t>
      </w:r>
      <w:r w:rsidR="003418E8">
        <w:rPr>
          <w:rFonts w:ascii="Times New Roman" w:hAnsi="Times New Roman" w:cs="Times New Roman"/>
          <w:sz w:val="24"/>
          <w:szCs w:val="24"/>
        </w:rPr>
        <w:t xml:space="preserve">ould be protected by </w:t>
      </w:r>
      <w:r w:rsidR="003418E8" w:rsidRPr="00F759E2">
        <w:rPr>
          <w:rFonts w:ascii="Times New Roman" w:hAnsi="Times New Roman" w:cs="Times New Roman"/>
          <w:sz w:val="24"/>
          <w:szCs w:val="24"/>
        </w:rPr>
        <w:t>the sui generis</w:t>
      </w:r>
      <w:r w:rsidR="003418E8">
        <w:rPr>
          <w:rFonts w:ascii="Times New Roman" w:hAnsi="Times New Roman" w:cs="Times New Roman"/>
          <w:i/>
          <w:sz w:val="24"/>
          <w:szCs w:val="24"/>
        </w:rPr>
        <w:t xml:space="preserve"> </w:t>
      </w:r>
      <w:r w:rsidR="003418E8">
        <w:rPr>
          <w:rFonts w:ascii="Times New Roman" w:hAnsi="Times New Roman" w:cs="Times New Roman"/>
          <w:sz w:val="24"/>
          <w:szCs w:val="24"/>
        </w:rPr>
        <w:t>right.</w:t>
      </w:r>
    </w:p>
    <w:p w14:paraId="05DEFFCB" w14:textId="033330FE" w:rsidR="00053086" w:rsidRDefault="00053086"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18E9372" w14:textId="196745A2" w:rsidR="00323063" w:rsidRDefault="00323063"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we cannot ignore the position of those who consider that recorded data should be qualified as created data</w:t>
      </w:r>
      <w:r w:rsidR="00674991">
        <w:rPr>
          <w:rFonts w:ascii="Times New Roman" w:hAnsi="Times New Roman" w:cs="Times New Roman"/>
          <w:sz w:val="24"/>
          <w:szCs w:val="24"/>
        </w:rPr>
        <w:t xml:space="preserve">, rather than </w:t>
      </w:r>
      <w:r>
        <w:rPr>
          <w:rFonts w:ascii="Times New Roman" w:hAnsi="Times New Roman" w:cs="Times New Roman"/>
          <w:sz w:val="24"/>
          <w:szCs w:val="24"/>
        </w:rPr>
        <w:t>obtained</w:t>
      </w:r>
      <w:r w:rsidR="00674991">
        <w:rPr>
          <w:rFonts w:ascii="Times New Roman" w:hAnsi="Times New Roman" w:cs="Times New Roman"/>
          <w:sz w:val="24"/>
          <w:szCs w:val="24"/>
        </w:rPr>
        <w:t>.</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Indeed, this qualification would necessar</w:t>
      </w:r>
      <w:r w:rsidR="00674991">
        <w:rPr>
          <w:rFonts w:ascii="Times New Roman" w:hAnsi="Times New Roman" w:cs="Times New Roman"/>
          <w:sz w:val="24"/>
          <w:szCs w:val="24"/>
        </w:rPr>
        <w:t xml:space="preserve">ily also </w:t>
      </w:r>
      <w:r>
        <w:rPr>
          <w:rFonts w:ascii="Times New Roman" w:hAnsi="Times New Roman" w:cs="Times New Roman"/>
          <w:sz w:val="24"/>
          <w:szCs w:val="24"/>
        </w:rPr>
        <w:t>extend to the o</w:t>
      </w:r>
      <w:r w:rsidR="005F0B76">
        <w:rPr>
          <w:rFonts w:ascii="Times New Roman" w:hAnsi="Times New Roman" w:cs="Times New Roman"/>
          <w:sz w:val="24"/>
          <w:szCs w:val="24"/>
        </w:rPr>
        <w:t>utcome of data mining processes. The result would be quite dramatic for the protection of AI-generated databases.</w:t>
      </w:r>
    </w:p>
    <w:p w14:paraId="4803DF51" w14:textId="77777777" w:rsidR="00674991" w:rsidRDefault="00674991" w:rsidP="00053086">
      <w:pPr>
        <w:spacing w:after="0" w:line="240" w:lineRule="auto"/>
        <w:jc w:val="both"/>
        <w:rPr>
          <w:rFonts w:ascii="Times New Roman" w:hAnsi="Times New Roman" w:cs="Times New Roman"/>
          <w:sz w:val="24"/>
          <w:szCs w:val="24"/>
        </w:rPr>
      </w:pPr>
    </w:p>
    <w:p w14:paraId="2C86D282" w14:textId="1E5D710B" w:rsidR="0072606C" w:rsidRDefault="008E7DD6" w:rsidP="00345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this twofold reduction – one actual and one potential – would not lead to a broad</w:t>
      </w:r>
      <w:r w:rsidR="00172A55">
        <w:rPr>
          <w:rFonts w:ascii="Times New Roman" w:hAnsi="Times New Roman" w:cs="Times New Roman"/>
          <w:sz w:val="24"/>
          <w:szCs w:val="24"/>
        </w:rPr>
        <w:t xml:space="preserve">er set of data freely available but, on the contrary, would trigger the negative consequences of the contractual protection resulting from the Ryanair case. </w:t>
      </w:r>
      <w:r w:rsidR="00F82FF7">
        <w:rPr>
          <w:rFonts w:ascii="Times New Roman" w:hAnsi="Times New Roman" w:cs="Times New Roman"/>
          <w:sz w:val="24"/>
          <w:szCs w:val="24"/>
        </w:rPr>
        <w:t xml:space="preserve">Indeed, </w:t>
      </w:r>
      <w:r w:rsidR="00674991">
        <w:rPr>
          <w:rFonts w:ascii="Times New Roman" w:hAnsi="Times New Roman" w:cs="Times New Roman"/>
          <w:sz w:val="24"/>
          <w:szCs w:val="24"/>
        </w:rPr>
        <w:t xml:space="preserve">as in </w:t>
      </w:r>
      <w:r w:rsidR="00F82FF7">
        <w:rPr>
          <w:rFonts w:ascii="Times New Roman" w:hAnsi="Times New Roman" w:cs="Times New Roman"/>
          <w:sz w:val="24"/>
          <w:szCs w:val="24"/>
        </w:rPr>
        <w:t xml:space="preserve">the </w:t>
      </w:r>
      <w:r w:rsidR="00E13E35">
        <w:rPr>
          <w:rFonts w:ascii="Times New Roman" w:hAnsi="Times New Roman" w:cs="Times New Roman"/>
          <w:sz w:val="24"/>
          <w:szCs w:val="24"/>
        </w:rPr>
        <w:t>above-mentioned case,</w:t>
      </w:r>
      <w:r w:rsidR="00393F19">
        <w:rPr>
          <w:rFonts w:ascii="Times New Roman" w:hAnsi="Times New Roman" w:cs="Times New Roman"/>
          <w:sz w:val="24"/>
          <w:szCs w:val="24"/>
        </w:rPr>
        <w:t xml:space="preserve"> if the requirements set forth </w:t>
      </w:r>
      <w:r w:rsidR="00674991">
        <w:rPr>
          <w:rFonts w:ascii="Times New Roman" w:hAnsi="Times New Roman" w:cs="Times New Roman"/>
          <w:sz w:val="24"/>
          <w:szCs w:val="24"/>
        </w:rPr>
        <w:t xml:space="preserve">in </w:t>
      </w:r>
      <w:r w:rsidR="00E13E35">
        <w:rPr>
          <w:rFonts w:ascii="Times New Roman" w:hAnsi="Times New Roman" w:cs="Times New Roman"/>
          <w:sz w:val="24"/>
          <w:szCs w:val="24"/>
        </w:rPr>
        <w:t>Article 7</w:t>
      </w:r>
      <w:r w:rsidR="00393F19">
        <w:rPr>
          <w:rFonts w:ascii="Times New Roman" w:hAnsi="Times New Roman" w:cs="Times New Roman"/>
          <w:sz w:val="24"/>
          <w:szCs w:val="24"/>
        </w:rPr>
        <w:t xml:space="preserve"> </w:t>
      </w:r>
      <w:r w:rsidR="00674991">
        <w:rPr>
          <w:rFonts w:ascii="Times New Roman" w:hAnsi="Times New Roman" w:cs="Times New Roman"/>
          <w:sz w:val="24"/>
          <w:szCs w:val="24"/>
        </w:rPr>
        <w:t xml:space="preserve">were </w:t>
      </w:r>
      <w:r w:rsidR="00393F19">
        <w:rPr>
          <w:rFonts w:ascii="Times New Roman" w:hAnsi="Times New Roman" w:cs="Times New Roman"/>
          <w:sz w:val="24"/>
          <w:szCs w:val="24"/>
        </w:rPr>
        <w:t>not met</w:t>
      </w:r>
      <w:r w:rsidR="00E13E35">
        <w:rPr>
          <w:rFonts w:ascii="Times New Roman" w:hAnsi="Times New Roman" w:cs="Times New Roman"/>
          <w:sz w:val="24"/>
          <w:szCs w:val="24"/>
        </w:rPr>
        <w:t xml:space="preserve">, the safeguards for lawful users </w:t>
      </w:r>
      <w:r w:rsidR="00EA5481">
        <w:rPr>
          <w:rFonts w:ascii="Times New Roman" w:hAnsi="Times New Roman" w:cs="Times New Roman"/>
          <w:sz w:val="24"/>
          <w:szCs w:val="24"/>
        </w:rPr>
        <w:t>provided under Article 8(1) and “strengthen</w:t>
      </w:r>
      <w:r w:rsidR="00674991">
        <w:rPr>
          <w:rFonts w:ascii="Times New Roman" w:hAnsi="Times New Roman" w:cs="Times New Roman"/>
          <w:sz w:val="24"/>
          <w:szCs w:val="24"/>
        </w:rPr>
        <w:t>ed</w:t>
      </w:r>
      <w:r w:rsidR="00EA5481">
        <w:rPr>
          <w:rFonts w:ascii="Times New Roman" w:hAnsi="Times New Roman" w:cs="Times New Roman"/>
          <w:sz w:val="24"/>
          <w:szCs w:val="24"/>
        </w:rPr>
        <w:t>” by Article 15 would not apply. Furthermore, there might</w:t>
      </w:r>
      <w:r w:rsidR="005945D7">
        <w:rPr>
          <w:rFonts w:ascii="Times New Roman" w:hAnsi="Times New Roman" w:cs="Times New Roman"/>
          <w:sz w:val="24"/>
          <w:szCs w:val="24"/>
        </w:rPr>
        <w:t xml:space="preserve"> be</w:t>
      </w:r>
      <w:r w:rsidR="00EA5481">
        <w:rPr>
          <w:rFonts w:ascii="Times New Roman" w:hAnsi="Times New Roman" w:cs="Times New Roman"/>
          <w:sz w:val="24"/>
          <w:szCs w:val="24"/>
        </w:rPr>
        <w:t xml:space="preserve"> the risk of the Ryanair </w:t>
      </w:r>
      <w:r w:rsidR="00393F19">
        <w:rPr>
          <w:rFonts w:ascii="Times New Roman" w:hAnsi="Times New Roman" w:cs="Times New Roman"/>
          <w:sz w:val="24"/>
          <w:szCs w:val="24"/>
        </w:rPr>
        <w:t>rationale</w:t>
      </w:r>
      <w:r w:rsidR="0072606C">
        <w:rPr>
          <w:rFonts w:ascii="Times New Roman" w:hAnsi="Times New Roman" w:cs="Times New Roman"/>
          <w:sz w:val="24"/>
          <w:szCs w:val="24"/>
        </w:rPr>
        <w:t xml:space="preserve"> also being applied, by analogy, </w:t>
      </w:r>
      <w:r w:rsidR="00EA5481">
        <w:rPr>
          <w:rFonts w:ascii="Times New Roman" w:hAnsi="Times New Roman" w:cs="Times New Roman"/>
          <w:sz w:val="24"/>
          <w:szCs w:val="24"/>
        </w:rPr>
        <w:t xml:space="preserve">to Articles 3, 5, 6, and 7 of the DSM Directive. </w:t>
      </w:r>
      <w:r w:rsidR="005945D7">
        <w:rPr>
          <w:rFonts w:ascii="Times New Roman" w:hAnsi="Times New Roman" w:cs="Times New Roman"/>
          <w:sz w:val="24"/>
          <w:szCs w:val="24"/>
        </w:rPr>
        <w:t>These provisions have introduced three new exceptions to the right conferred under Article 7 of the Database Directive: text and data mining for the purpose of scientific research (Article 3); use of dat</w:t>
      </w:r>
      <w:r w:rsidR="00393F19">
        <w:rPr>
          <w:rFonts w:ascii="Times New Roman" w:hAnsi="Times New Roman" w:cs="Times New Roman"/>
          <w:sz w:val="24"/>
          <w:szCs w:val="24"/>
        </w:rPr>
        <w:t>abases for digital and cross-border</w:t>
      </w:r>
      <w:r w:rsidR="005945D7">
        <w:rPr>
          <w:rFonts w:ascii="Times New Roman" w:hAnsi="Times New Roman" w:cs="Times New Roman"/>
          <w:sz w:val="24"/>
          <w:szCs w:val="24"/>
        </w:rPr>
        <w:t xml:space="preserve"> teaching activities (Article 5); </w:t>
      </w:r>
      <w:r w:rsidR="0072606C">
        <w:rPr>
          <w:rFonts w:ascii="Times New Roman" w:hAnsi="Times New Roman" w:cs="Times New Roman"/>
          <w:sz w:val="24"/>
          <w:szCs w:val="24"/>
        </w:rPr>
        <w:t xml:space="preserve">and </w:t>
      </w:r>
      <w:r w:rsidR="005945D7">
        <w:rPr>
          <w:rFonts w:ascii="Times New Roman" w:hAnsi="Times New Roman" w:cs="Times New Roman"/>
          <w:sz w:val="24"/>
          <w:szCs w:val="24"/>
        </w:rPr>
        <w:t>preservation of cultural heritage (Article 6). Furthermore, under Article 7 of the DSM Directive, such exceptions cannot be prevented by contractual means.</w:t>
      </w:r>
    </w:p>
    <w:p w14:paraId="4AEA3DE0" w14:textId="4B4691A7" w:rsidR="00417AA8" w:rsidRDefault="005945D7" w:rsidP="00345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481">
        <w:rPr>
          <w:rFonts w:ascii="Times New Roman" w:hAnsi="Times New Roman" w:cs="Times New Roman"/>
          <w:sz w:val="24"/>
          <w:szCs w:val="24"/>
        </w:rPr>
        <w:t xml:space="preserve">  </w:t>
      </w:r>
      <w:r w:rsidR="009061EF">
        <w:rPr>
          <w:rFonts w:ascii="Times New Roman" w:hAnsi="Times New Roman" w:cs="Times New Roman"/>
          <w:sz w:val="24"/>
          <w:szCs w:val="24"/>
        </w:rPr>
        <w:t xml:space="preserve"> </w:t>
      </w:r>
      <w:r w:rsidR="00E42560">
        <w:rPr>
          <w:rFonts w:ascii="Times New Roman" w:hAnsi="Times New Roman" w:cs="Times New Roman"/>
          <w:sz w:val="24"/>
          <w:szCs w:val="24"/>
        </w:rPr>
        <w:t xml:space="preserve"> </w:t>
      </w:r>
    </w:p>
    <w:p w14:paraId="04B022D3" w14:textId="01C67889" w:rsidR="00285D03" w:rsidRDefault="00285D03"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this risk, </w:t>
      </w:r>
      <w:r w:rsidR="0012349D">
        <w:rPr>
          <w:rFonts w:ascii="Times New Roman" w:hAnsi="Times New Roman" w:cs="Times New Roman"/>
          <w:sz w:val="24"/>
          <w:szCs w:val="24"/>
        </w:rPr>
        <w:t xml:space="preserve">it is </w:t>
      </w:r>
      <w:r w:rsidR="0072606C">
        <w:rPr>
          <w:rFonts w:ascii="Times New Roman" w:hAnsi="Times New Roman" w:cs="Times New Roman"/>
          <w:sz w:val="24"/>
          <w:szCs w:val="24"/>
        </w:rPr>
        <w:t xml:space="preserve">our </w:t>
      </w:r>
      <w:r w:rsidR="0012349D">
        <w:rPr>
          <w:rFonts w:ascii="Times New Roman" w:hAnsi="Times New Roman" w:cs="Times New Roman"/>
          <w:sz w:val="24"/>
          <w:szCs w:val="24"/>
        </w:rPr>
        <w:t xml:space="preserve">conviction that there are two </w:t>
      </w:r>
      <w:r>
        <w:rPr>
          <w:rFonts w:ascii="Times New Roman" w:hAnsi="Times New Roman" w:cs="Times New Roman"/>
          <w:sz w:val="24"/>
          <w:szCs w:val="24"/>
        </w:rPr>
        <w:t>possible solutions</w:t>
      </w:r>
      <w:r w:rsidR="00267501">
        <w:rPr>
          <w:rFonts w:ascii="Times New Roman" w:hAnsi="Times New Roman" w:cs="Times New Roman"/>
          <w:sz w:val="24"/>
          <w:szCs w:val="24"/>
        </w:rPr>
        <w:t>,</w:t>
      </w:r>
      <w:r w:rsidR="00CB7831">
        <w:rPr>
          <w:rFonts w:ascii="Times New Roman" w:hAnsi="Times New Roman" w:cs="Times New Roman"/>
          <w:sz w:val="24"/>
          <w:szCs w:val="24"/>
        </w:rPr>
        <w:t xml:space="preserve"> both impl</w:t>
      </w:r>
      <w:r w:rsidR="00267501">
        <w:rPr>
          <w:rFonts w:ascii="Times New Roman" w:hAnsi="Times New Roman" w:cs="Times New Roman"/>
          <w:sz w:val="24"/>
          <w:szCs w:val="24"/>
        </w:rPr>
        <w:t>ying</w:t>
      </w:r>
      <w:r w:rsidR="00CB7831">
        <w:rPr>
          <w:rFonts w:ascii="Times New Roman" w:hAnsi="Times New Roman" w:cs="Times New Roman"/>
          <w:sz w:val="24"/>
          <w:szCs w:val="24"/>
        </w:rPr>
        <w:t xml:space="preserve"> a reform of the Database Directive</w:t>
      </w:r>
      <w:r w:rsidR="0012349D">
        <w:rPr>
          <w:rFonts w:ascii="Times New Roman" w:hAnsi="Times New Roman" w:cs="Times New Roman"/>
          <w:sz w:val="24"/>
          <w:szCs w:val="24"/>
        </w:rPr>
        <w:t>.</w:t>
      </w:r>
    </w:p>
    <w:p w14:paraId="5F2B2B57" w14:textId="77777777" w:rsidR="0072606C" w:rsidRDefault="0072606C" w:rsidP="00053086">
      <w:pPr>
        <w:spacing w:after="0" w:line="240" w:lineRule="auto"/>
        <w:jc w:val="both"/>
        <w:rPr>
          <w:rFonts w:ascii="Times New Roman" w:hAnsi="Times New Roman" w:cs="Times New Roman"/>
          <w:sz w:val="24"/>
          <w:szCs w:val="24"/>
        </w:rPr>
      </w:pPr>
    </w:p>
    <w:p w14:paraId="27C6AE3E" w14:textId="55DD8DA4" w:rsidR="00285D03" w:rsidRDefault="00285D03"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B7831">
        <w:rPr>
          <w:rFonts w:ascii="Times New Roman" w:hAnsi="Times New Roman" w:cs="Times New Roman"/>
          <w:sz w:val="24"/>
          <w:szCs w:val="24"/>
        </w:rPr>
        <w:t xml:space="preserve">first </w:t>
      </w:r>
      <w:r w:rsidR="0072606C">
        <w:rPr>
          <w:rFonts w:ascii="Times New Roman" w:hAnsi="Times New Roman" w:cs="Times New Roman"/>
          <w:sz w:val="24"/>
          <w:szCs w:val="24"/>
        </w:rPr>
        <w:t xml:space="preserve">is intended to </w:t>
      </w:r>
      <w:r w:rsidR="00CB7831">
        <w:rPr>
          <w:rFonts w:ascii="Times New Roman" w:hAnsi="Times New Roman" w:cs="Times New Roman"/>
          <w:sz w:val="24"/>
          <w:szCs w:val="24"/>
        </w:rPr>
        <w:t xml:space="preserve">counter the overprotection generated by the </w:t>
      </w:r>
      <w:r w:rsidR="00CB7831" w:rsidRPr="000D214E">
        <w:rPr>
          <w:rFonts w:ascii="Times New Roman" w:hAnsi="Times New Roman" w:cs="Times New Roman"/>
          <w:i/>
          <w:iCs/>
          <w:sz w:val="24"/>
          <w:szCs w:val="24"/>
        </w:rPr>
        <w:t>Ryanair</w:t>
      </w:r>
      <w:r w:rsidR="00CB7831">
        <w:rPr>
          <w:rFonts w:ascii="Times New Roman" w:hAnsi="Times New Roman" w:cs="Times New Roman"/>
          <w:sz w:val="24"/>
          <w:szCs w:val="24"/>
        </w:rPr>
        <w:t xml:space="preserve"> decision. In this case, a simple addition to </w:t>
      </w:r>
      <w:r w:rsidR="00267501">
        <w:rPr>
          <w:rFonts w:ascii="Times New Roman" w:hAnsi="Times New Roman" w:cs="Times New Roman"/>
          <w:sz w:val="24"/>
          <w:szCs w:val="24"/>
        </w:rPr>
        <w:t>A</w:t>
      </w:r>
      <w:r w:rsidR="00CB7831">
        <w:rPr>
          <w:rFonts w:ascii="Times New Roman" w:hAnsi="Times New Roman" w:cs="Times New Roman"/>
          <w:sz w:val="24"/>
          <w:szCs w:val="24"/>
        </w:rPr>
        <w:t xml:space="preserve">rticle 8 of the Directive, extending its effect to all databases falling </w:t>
      </w:r>
      <w:r w:rsidR="00C808E3">
        <w:rPr>
          <w:rFonts w:ascii="Times New Roman" w:hAnsi="Times New Roman" w:cs="Times New Roman"/>
          <w:sz w:val="24"/>
          <w:szCs w:val="24"/>
        </w:rPr>
        <w:t>with</w:t>
      </w:r>
      <w:r w:rsidR="00CB7831">
        <w:rPr>
          <w:rFonts w:ascii="Times New Roman" w:hAnsi="Times New Roman" w:cs="Times New Roman"/>
          <w:sz w:val="24"/>
          <w:szCs w:val="24"/>
        </w:rPr>
        <w:t xml:space="preserve">in the definition set </w:t>
      </w:r>
      <w:r w:rsidR="00C808E3">
        <w:rPr>
          <w:rFonts w:ascii="Times New Roman" w:hAnsi="Times New Roman" w:cs="Times New Roman"/>
          <w:sz w:val="24"/>
          <w:szCs w:val="24"/>
        </w:rPr>
        <w:t xml:space="preserve">forth in </w:t>
      </w:r>
      <w:r w:rsidR="00756719">
        <w:rPr>
          <w:rFonts w:ascii="Times New Roman" w:hAnsi="Times New Roman" w:cs="Times New Roman"/>
          <w:sz w:val="24"/>
          <w:szCs w:val="24"/>
        </w:rPr>
        <w:t>A</w:t>
      </w:r>
      <w:r w:rsidR="00CB7831">
        <w:rPr>
          <w:rFonts w:ascii="Times New Roman" w:hAnsi="Times New Roman" w:cs="Times New Roman"/>
          <w:sz w:val="24"/>
          <w:szCs w:val="24"/>
        </w:rPr>
        <w:t>rticle 1</w:t>
      </w:r>
      <w:r w:rsidR="00393F19">
        <w:rPr>
          <w:rFonts w:ascii="Times New Roman" w:hAnsi="Times New Roman" w:cs="Times New Roman"/>
          <w:sz w:val="24"/>
          <w:szCs w:val="24"/>
        </w:rPr>
        <w:t>(</w:t>
      </w:r>
      <w:r w:rsidR="00CB7831">
        <w:rPr>
          <w:rFonts w:ascii="Times New Roman" w:hAnsi="Times New Roman" w:cs="Times New Roman"/>
          <w:sz w:val="24"/>
          <w:szCs w:val="24"/>
        </w:rPr>
        <w:t>2</w:t>
      </w:r>
      <w:r w:rsidR="00393F19">
        <w:rPr>
          <w:rFonts w:ascii="Times New Roman" w:hAnsi="Times New Roman" w:cs="Times New Roman"/>
          <w:sz w:val="24"/>
          <w:szCs w:val="24"/>
        </w:rPr>
        <w:t>)</w:t>
      </w:r>
      <w:r w:rsidR="00CB7831">
        <w:rPr>
          <w:rFonts w:ascii="Times New Roman" w:hAnsi="Times New Roman" w:cs="Times New Roman"/>
          <w:sz w:val="24"/>
          <w:szCs w:val="24"/>
        </w:rPr>
        <w:t xml:space="preserve">, </w:t>
      </w:r>
      <w:r w:rsidR="00C808E3">
        <w:rPr>
          <w:rFonts w:ascii="Times New Roman" w:hAnsi="Times New Roman" w:cs="Times New Roman"/>
          <w:sz w:val="24"/>
          <w:szCs w:val="24"/>
        </w:rPr>
        <w:t>might</w:t>
      </w:r>
      <w:r w:rsidR="00CB7831">
        <w:rPr>
          <w:rFonts w:ascii="Times New Roman" w:hAnsi="Times New Roman" w:cs="Times New Roman"/>
          <w:sz w:val="24"/>
          <w:szCs w:val="24"/>
        </w:rPr>
        <w:t xml:space="preserve"> be sufficient. Indeed, in this case the applicability of </w:t>
      </w:r>
      <w:r w:rsidR="00267501">
        <w:rPr>
          <w:rFonts w:ascii="Times New Roman" w:hAnsi="Times New Roman" w:cs="Times New Roman"/>
          <w:sz w:val="24"/>
          <w:szCs w:val="24"/>
        </w:rPr>
        <w:t>A</w:t>
      </w:r>
      <w:r w:rsidR="00CB7831">
        <w:rPr>
          <w:rFonts w:ascii="Times New Roman" w:hAnsi="Times New Roman" w:cs="Times New Roman"/>
          <w:sz w:val="24"/>
          <w:szCs w:val="24"/>
        </w:rPr>
        <w:t>rticles 8 and 15 would be detached from protection of the database.</w:t>
      </w:r>
      <w:r w:rsidR="00267501">
        <w:rPr>
          <w:rFonts w:ascii="Times New Roman" w:hAnsi="Times New Roman" w:cs="Times New Roman"/>
          <w:sz w:val="24"/>
          <w:szCs w:val="24"/>
        </w:rPr>
        <w:t xml:space="preserve"> </w:t>
      </w:r>
      <w:r w:rsidR="00C808E3">
        <w:rPr>
          <w:rFonts w:ascii="Times New Roman" w:hAnsi="Times New Roman" w:cs="Times New Roman"/>
          <w:sz w:val="24"/>
          <w:szCs w:val="24"/>
        </w:rPr>
        <w:t>S</w:t>
      </w:r>
      <w:r w:rsidR="00267501">
        <w:rPr>
          <w:rFonts w:ascii="Times New Roman" w:hAnsi="Times New Roman" w:cs="Times New Roman"/>
          <w:sz w:val="24"/>
          <w:szCs w:val="24"/>
        </w:rPr>
        <w:t>uch provision</w:t>
      </w:r>
      <w:r w:rsidR="00393F19">
        <w:rPr>
          <w:rFonts w:ascii="Times New Roman" w:hAnsi="Times New Roman" w:cs="Times New Roman"/>
          <w:sz w:val="24"/>
          <w:szCs w:val="24"/>
        </w:rPr>
        <w:t xml:space="preserve">s </w:t>
      </w:r>
      <w:r w:rsidR="00C808E3">
        <w:rPr>
          <w:rFonts w:ascii="Times New Roman" w:hAnsi="Times New Roman" w:cs="Times New Roman"/>
          <w:sz w:val="24"/>
          <w:szCs w:val="24"/>
        </w:rPr>
        <w:t>might</w:t>
      </w:r>
      <w:r w:rsidR="00393F19">
        <w:rPr>
          <w:rFonts w:ascii="Times New Roman" w:hAnsi="Times New Roman" w:cs="Times New Roman"/>
          <w:sz w:val="24"/>
          <w:szCs w:val="24"/>
        </w:rPr>
        <w:t xml:space="preserve"> then</w:t>
      </w:r>
      <w:r w:rsidR="00267501">
        <w:rPr>
          <w:rFonts w:ascii="Times New Roman" w:hAnsi="Times New Roman" w:cs="Times New Roman"/>
          <w:sz w:val="24"/>
          <w:szCs w:val="24"/>
        </w:rPr>
        <w:t xml:space="preserve"> be applicable, in an analogous way, to the new set of exceptions </w:t>
      </w:r>
      <w:r w:rsidR="00C808E3">
        <w:rPr>
          <w:rFonts w:ascii="Times New Roman" w:hAnsi="Times New Roman" w:cs="Times New Roman"/>
          <w:sz w:val="24"/>
          <w:szCs w:val="24"/>
        </w:rPr>
        <w:t xml:space="preserve">set forth in </w:t>
      </w:r>
      <w:r w:rsidR="00267501">
        <w:rPr>
          <w:rFonts w:ascii="Times New Roman" w:hAnsi="Times New Roman" w:cs="Times New Roman"/>
          <w:sz w:val="24"/>
          <w:szCs w:val="24"/>
        </w:rPr>
        <w:t>the DSM Direc</w:t>
      </w:r>
      <w:r w:rsidR="003D219C">
        <w:rPr>
          <w:rFonts w:ascii="Times New Roman" w:hAnsi="Times New Roman" w:cs="Times New Roman"/>
          <w:sz w:val="24"/>
          <w:szCs w:val="24"/>
        </w:rPr>
        <w:t>t</w:t>
      </w:r>
      <w:r w:rsidR="00267501">
        <w:rPr>
          <w:rFonts w:ascii="Times New Roman" w:hAnsi="Times New Roman" w:cs="Times New Roman"/>
          <w:sz w:val="24"/>
          <w:szCs w:val="24"/>
        </w:rPr>
        <w:t>ive.</w:t>
      </w:r>
    </w:p>
    <w:p w14:paraId="4BD8DF78" w14:textId="77777777" w:rsidR="00C808E3" w:rsidRDefault="00C808E3" w:rsidP="00053086">
      <w:pPr>
        <w:spacing w:after="0" w:line="240" w:lineRule="auto"/>
        <w:jc w:val="both"/>
        <w:rPr>
          <w:rFonts w:ascii="Times New Roman" w:hAnsi="Times New Roman" w:cs="Times New Roman"/>
          <w:sz w:val="24"/>
          <w:szCs w:val="24"/>
        </w:rPr>
      </w:pPr>
    </w:p>
    <w:p w14:paraId="67D7DADF" w14:textId="60F516EF" w:rsidR="00E96C4C" w:rsidRDefault="00393F19"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E96C4C">
        <w:rPr>
          <w:rFonts w:ascii="Times New Roman" w:hAnsi="Times New Roman" w:cs="Times New Roman"/>
          <w:sz w:val="24"/>
          <w:szCs w:val="24"/>
        </w:rPr>
        <w:t xml:space="preserve">an intervention of this kind would </w:t>
      </w:r>
      <w:r w:rsidR="00C808E3">
        <w:rPr>
          <w:rFonts w:ascii="Times New Roman" w:hAnsi="Times New Roman" w:cs="Times New Roman"/>
          <w:sz w:val="24"/>
          <w:szCs w:val="24"/>
        </w:rPr>
        <w:t xml:space="preserve">only partly </w:t>
      </w:r>
      <w:r w:rsidR="00E96C4C">
        <w:rPr>
          <w:rFonts w:ascii="Times New Roman" w:hAnsi="Times New Roman" w:cs="Times New Roman"/>
          <w:sz w:val="24"/>
          <w:szCs w:val="24"/>
        </w:rPr>
        <w:t>solve the problem</w:t>
      </w:r>
      <w:r w:rsidR="0083660C">
        <w:rPr>
          <w:rFonts w:ascii="Times New Roman" w:hAnsi="Times New Roman" w:cs="Times New Roman"/>
          <w:sz w:val="24"/>
          <w:szCs w:val="24"/>
        </w:rPr>
        <w:t>.</w:t>
      </w:r>
      <w:r w:rsidR="00E96C4C">
        <w:rPr>
          <w:rFonts w:ascii="Times New Roman" w:hAnsi="Times New Roman" w:cs="Times New Roman"/>
          <w:sz w:val="24"/>
          <w:szCs w:val="24"/>
        </w:rPr>
        <w:t xml:space="preserve"> AI-generated databases (and more generally </w:t>
      </w:r>
      <w:r w:rsidR="0083660C">
        <w:rPr>
          <w:rFonts w:ascii="Times New Roman" w:hAnsi="Times New Roman" w:cs="Times New Roman"/>
          <w:sz w:val="24"/>
          <w:szCs w:val="24"/>
        </w:rPr>
        <w:t>B</w:t>
      </w:r>
      <w:r w:rsidR="00E96C4C">
        <w:rPr>
          <w:rFonts w:ascii="Times New Roman" w:hAnsi="Times New Roman" w:cs="Times New Roman"/>
          <w:sz w:val="24"/>
          <w:szCs w:val="24"/>
        </w:rPr>
        <w:t xml:space="preserve">ig </w:t>
      </w:r>
      <w:r w:rsidR="0083660C">
        <w:rPr>
          <w:rFonts w:ascii="Times New Roman" w:hAnsi="Times New Roman" w:cs="Times New Roman"/>
          <w:sz w:val="24"/>
          <w:szCs w:val="24"/>
        </w:rPr>
        <w:t>D</w:t>
      </w:r>
      <w:r w:rsidR="00E96C4C">
        <w:rPr>
          <w:rFonts w:ascii="Times New Roman" w:hAnsi="Times New Roman" w:cs="Times New Roman"/>
          <w:sz w:val="24"/>
          <w:szCs w:val="24"/>
        </w:rPr>
        <w:t xml:space="preserve">ata) pose other challenges, related </w:t>
      </w:r>
      <w:r w:rsidR="00C808E3">
        <w:rPr>
          <w:rFonts w:ascii="Times New Roman" w:hAnsi="Times New Roman" w:cs="Times New Roman"/>
          <w:sz w:val="24"/>
          <w:szCs w:val="24"/>
        </w:rPr>
        <w:t xml:space="preserve">mainly </w:t>
      </w:r>
      <w:r w:rsidR="00E96C4C">
        <w:rPr>
          <w:rFonts w:ascii="Times New Roman" w:hAnsi="Times New Roman" w:cs="Times New Roman"/>
          <w:sz w:val="24"/>
          <w:szCs w:val="24"/>
        </w:rPr>
        <w:t>to the creation/obtaining dichotomy</w:t>
      </w:r>
      <w:r w:rsidR="00C808E3">
        <w:rPr>
          <w:rFonts w:ascii="Times New Roman" w:hAnsi="Times New Roman" w:cs="Times New Roman"/>
          <w:sz w:val="24"/>
          <w:szCs w:val="24"/>
        </w:rPr>
        <w:t>,</w:t>
      </w:r>
      <w:r w:rsidR="00E96C4C">
        <w:rPr>
          <w:rFonts w:ascii="Times New Roman" w:hAnsi="Times New Roman" w:cs="Times New Roman"/>
          <w:sz w:val="24"/>
          <w:szCs w:val="24"/>
        </w:rPr>
        <w:t xml:space="preserve"> on </w:t>
      </w:r>
      <w:r w:rsidR="00C808E3">
        <w:rPr>
          <w:rFonts w:ascii="Times New Roman" w:hAnsi="Times New Roman" w:cs="Times New Roman"/>
          <w:sz w:val="24"/>
          <w:szCs w:val="24"/>
        </w:rPr>
        <w:t xml:space="preserve">the one hand, </w:t>
      </w:r>
      <w:r w:rsidR="00E96C4C">
        <w:rPr>
          <w:rFonts w:ascii="Times New Roman" w:hAnsi="Times New Roman" w:cs="Times New Roman"/>
          <w:sz w:val="24"/>
          <w:szCs w:val="24"/>
        </w:rPr>
        <w:t>and to access to data</w:t>
      </w:r>
      <w:r w:rsidR="00C808E3">
        <w:rPr>
          <w:rFonts w:ascii="Times New Roman" w:hAnsi="Times New Roman" w:cs="Times New Roman"/>
          <w:sz w:val="24"/>
          <w:szCs w:val="24"/>
        </w:rPr>
        <w:t>,</w:t>
      </w:r>
      <w:r w:rsidR="00E96C4C">
        <w:rPr>
          <w:rFonts w:ascii="Times New Roman" w:hAnsi="Times New Roman" w:cs="Times New Roman"/>
          <w:sz w:val="24"/>
          <w:szCs w:val="24"/>
        </w:rPr>
        <w:t xml:space="preserve"> on the other.</w:t>
      </w:r>
    </w:p>
    <w:p w14:paraId="58E646F6" w14:textId="77777777" w:rsidR="00C808E3" w:rsidRDefault="00C808E3" w:rsidP="00053086">
      <w:pPr>
        <w:spacing w:after="0" w:line="240" w:lineRule="auto"/>
        <w:jc w:val="both"/>
        <w:rPr>
          <w:rFonts w:ascii="Times New Roman" w:hAnsi="Times New Roman" w:cs="Times New Roman"/>
          <w:sz w:val="24"/>
          <w:szCs w:val="24"/>
        </w:rPr>
      </w:pPr>
    </w:p>
    <w:p w14:paraId="420AD0AC" w14:textId="2C229794" w:rsidR="0088026A" w:rsidRDefault="003B7037" w:rsidP="0005308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 particular, as</w:t>
      </w:r>
      <w:proofErr w:type="gramEnd"/>
      <w:r>
        <w:rPr>
          <w:rFonts w:ascii="Times New Roman" w:hAnsi="Times New Roman" w:cs="Times New Roman"/>
          <w:sz w:val="24"/>
          <w:szCs w:val="24"/>
        </w:rPr>
        <w:t xml:space="preserve"> stated above, the i</w:t>
      </w:r>
      <w:r w:rsidR="00950D32">
        <w:rPr>
          <w:rFonts w:ascii="Times New Roman" w:hAnsi="Times New Roman" w:cs="Times New Roman"/>
          <w:sz w:val="24"/>
          <w:szCs w:val="24"/>
        </w:rPr>
        <w:t>ssues deriving</w:t>
      </w:r>
      <w:r>
        <w:rPr>
          <w:rFonts w:ascii="Times New Roman" w:hAnsi="Times New Roman" w:cs="Times New Roman"/>
          <w:sz w:val="24"/>
          <w:szCs w:val="24"/>
        </w:rPr>
        <w:t xml:space="preserve"> from the dichotomy created in 2004 by the CJEU are t</w:t>
      </w:r>
      <w:r w:rsidR="00C9096E">
        <w:rPr>
          <w:rFonts w:ascii="Times New Roman" w:hAnsi="Times New Roman" w:cs="Times New Roman"/>
          <w:sz w:val="24"/>
          <w:szCs w:val="24"/>
        </w:rPr>
        <w:t>hree</w:t>
      </w:r>
      <w:r>
        <w:rPr>
          <w:rFonts w:ascii="Times New Roman" w:hAnsi="Times New Roman" w:cs="Times New Roman"/>
          <w:sz w:val="24"/>
          <w:szCs w:val="24"/>
        </w:rPr>
        <w:t>fold. First</w:t>
      </w:r>
      <w:r w:rsidR="00C808E3">
        <w:rPr>
          <w:rFonts w:ascii="Times New Roman" w:hAnsi="Times New Roman" w:cs="Times New Roman"/>
          <w:sz w:val="24"/>
          <w:szCs w:val="24"/>
        </w:rPr>
        <w:t>ly</w:t>
      </w:r>
      <w:r>
        <w:rPr>
          <w:rFonts w:ascii="Times New Roman" w:hAnsi="Times New Roman" w:cs="Times New Roman"/>
          <w:sz w:val="24"/>
          <w:szCs w:val="24"/>
        </w:rPr>
        <w:t>, almost half of database</w:t>
      </w:r>
      <w:r w:rsidR="00C808E3">
        <w:rPr>
          <w:rFonts w:ascii="Times New Roman" w:hAnsi="Times New Roman" w:cs="Times New Roman"/>
          <w:sz w:val="24"/>
          <w:szCs w:val="24"/>
        </w:rPr>
        <w:t>-</w:t>
      </w:r>
      <w:r>
        <w:rPr>
          <w:rFonts w:ascii="Times New Roman" w:hAnsi="Times New Roman" w:cs="Times New Roman"/>
          <w:sz w:val="24"/>
          <w:szCs w:val="24"/>
        </w:rPr>
        <w:t>maker</w:t>
      </w:r>
      <w:r w:rsidR="00C808E3">
        <w:rPr>
          <w:rFonts w:ascii="Times New Roman" w:hAnsi="Times New Roman" w:cs="Times New Roman"/>
          <w:sz w:val="24"/>
          <w:szCs w:val="24"/>
        </w:rPr>
        <w:t>s</w:t>
      </w:r>
      <w:r>
        <w:rPr>
          <w:rFonts w:ascii="Times New Roman" w:hAnsi="Times New Roman" w:cs="Times New Roman"/>
          <w:sz w:val="24"/>
          <w:szCs w:val="24"/>
        </w:rPr>
        <w:t xml:space="preserve"> generate more than half of the contents of their databases</w:t>
      </w:r>
      <w:r w:rsidR="00C808E3">
        <w:rPr>
          <w:rFonts w:ascii="Times New Roman" w:hAnsi="Times New Roman" w:cs="Times New Roman"/>
          <w:sz w:val="24"/>
          <w:szCs w:val="24"/>
        </w:rPr>
        <w:t>.</w:t>
      </w:r>
      <w:r w:rsidR="00950D32">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Second</w:t>
      </w:r>
      <w:r w:rsidR="00C808E3">
        <w:rPr>
          <w:rFonts w:ascii="Times New Roman" w:hAnsi="Times New Roman" w:cs="Times New Roman"/>
          <w:sz w:val="24"/>
          <w:szCs w:val="24"/>
        </w:rPr>
        <w:t>ly</w:t>
      </w:r>
      <w:r>
        <w:rPr>
          <w:rFonts w:ascii="Times New Roman" w:hAnsi="Times New Roman" w:cs="Times New Roman"/>
          <w:sz w:val="24"/>
          <w:szCs w:val="24"/>
        </w:rPr>
        <w:t xml:space="preserve">, even if we believe that </w:t>
      </w:r>
      <w:r w:rsidR="00C808E3">
        <w:rPr>
          <w:rFonts w:ascii="Times New Roman" w:hAnsi="Times New Roman" w:cs="Times New Roman"/>
          <w:sz w:val="24"/>
          <w:szCs w:val="24"/>
        </w:rPr>
        <w:t xml:space="preserve">such </w:t>
      </w:r>
      <w:r w:rsidR="00102850">
        <w:rPr>
          <w:rFonts w:ascii="Times New Roman" w:hAnsi="Times New Roman" w:cs="Times New Roman"/>
          <w:sz w:val="24"/>
          <w:szCs w:val="24"/>
        </w:rPr>
        <w:t>content</w:t>
      </w:r>
      <w:r w:rsidR="00C808E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808E3">
        <w:rPr>
          <w:rFonts w:ascii="Times New Roman" w:hAnsi="Times New Roman" w:cs="Times New Roman"/>
          <w:sz w:val="24"/>
          <w:szCs w:val="24"/>
        </w:rPr>
        <w:t>“</w:t>
      </w:r>
      <w:r>
        <w:rPr>
          <w:rFonts w:ascii="Times New Roman" w:hAnsi="Times New Roman" w:cs="Times New Roman"/>
          <w:sz w:val="24"/>
          <w:szCs w:val="24"/>
        </w:rPr>
        <w:t>obtained</w:t>
      </w:r>
      <w:r w:rsidR="00C808E3">
        <w:rPr>
          <w:rFonts w:ascii="Times New Roman" w:hAnsi="Times New Roman" w:cs="Times New Roman"/>
          <w:sz w:val="24"/>
          <w:szCs w:val="24"/>
        </w:rPr>
        <w:t>”</w:t>
      </w:r>
      <w:r>
        <w:rPr>
          <w:rFonts w:ascii="Times New Roman" w:hAnsi="Times New Roman" w:cs="Times New Roman"/>
          <w:sz w:val="24"/>
          <w:szCs w:val="24"/>
        </w:rPr>
        <w:t>, the qualification of sensor-generated and mined data is controversial</w:t>
      </w:r>
      <w:r w:rsidR="00C808E3">
        <w:rPr>
          <w:rFonts w:ascii="Times New Roman" w:hAnsi="Times New Roman" w:cs="Times New Roman"/>
          <w:sz w:val="24"/>
          <w:szCs w:val="24"/>
        </w:rPr>
        <w:t>,</w:t>
      </w:r>
      <w:r w:rsidR="00267501">
        <w:rPr>
          <w:rFonts w:ascii="Times New Roman" w:hAnsi="Times New Roman" w:cs="Times New Roman"/>
          <w:sz w:val="24"/>
          <w:szCs w:val="24"/>
        </w:rPr>
        <w:t xml:space="preserve"> and </w:t>
      </w:r>
      <w:r w:rsidR="00C808E3">
        <w:rPr>
          <w:rFonts w:ascii="Times New Roman" w:hAnsi="Times New Roman" w:cs="Times New Roman"/>
          <w:sz w:val="24"/>
          <w:szCs w:val="24"/>
        </w:rPr>
        <w:t xml:space="preserve">therefore </w:t>
      </w:r>
      <w:r w:rsidR="00267501">
        <w:rPr>
          <w:rFonts w:ascii="Times New Roman" w:hAnsi="Times New Roman" w:cs="Times New Roman"/>
          <w:sz w:val="24"/>
          <w:szCs w:val="24"/>
        </w:rPr>
        <w:t>the</w:t>
      </w:r>
      <w:r w:rsidR="0032297D">
        <w:rPr>
          <w:rFonts w:ascii="Times New Roman" w:hAnsi="Times New Roman" w:cs="Times New Roman"/>
          <w:sz w:val="24"/>
          <w:szCs w:val="24"/>
        </w:rPr>
        <w:t xml:space="preserve"> creation/</w:t>
      </w:r>
      <w:r w:rsidR="00393F19">
        <w:rPr>
          <w:rFonts w:ascii="Times New Roman" w:hAnsi="Times New Roman" w:cs="Times New Roman"/>
          <w:sz w:val="24"/>
          <w:szCs w:val="24"/>
        </w:rPr>
        <w:t>obtaining dichotomy at issue is</w:t>
      </w:r>
      <w:r w:rsidR="0032297D">
        <w:rPr>
          <w:rFonts w:ascii="Times New Roman" w:hAnsi="Times New Roman" w:cs="Times New Roman"/>
          <w:sz w:val="24"/>
          <w:szCs w:val="24"/>
        </w:rPr>
        <w:t xml:space="preserve"> no longer </w:t>
      </w:r>
      <w:r w:rsidR="00267501">
        <w:rPr>
          <w:rFonts w:ascii="Times New Roman" w:hAnsi="Times New Roman" w:cs="Times New Roman"/>
          <w:sz w:val="24"/>
          <w:szCs w:val="24"/>
        </w:rPr>
        <w:t>tenable</w:t>
      </w:r>
      <w:r w:rsidR="00C808E3">
        <w:rPr>
          <w:rFonts w:ascii="Times New Roman" w:hAnsi="Times New Roman" w:cs="Times New Roman"/>
          <w:sz w:val="24"/>
          <w:szCs w:val="24"/>
        </w:rPr>
        <w:t>.</w:t>
      </w:r>
      <w:r w:rsidR="00267501">
        <w:rPr>
          <w:rStyle w:val="FootnoteReference"/>
          <w:rFonts w:ascii="Times New Roman" w:hAnsi="Times New Roman" w:cs="Times New Roman"/>
          <w:sz w:val="24"/>
          <w:szCs w:val="24"/>
        </w:rPr>
        <w:footnoteReference w:id="82"/>
      </w:r>
      <w:r w:rsidR="00C9096E">
        <w:rPr>
          <w:rFonts w:ascii="Times New Roman" w:hAnsi="Times New Roman" w:cs="Times New Roman"/>
          <w:sz w:val="24"/>
          <w:szCs w:val="24"/>
        </w:rPr>
        <w:t xml:space="preserve"> Third</w:t>
      </w:r>
      <w:r w:rsidR="00C808E3">
        <w:rPr>
          <w:rFonts w:ascii="Times New Roman" w:hAnsi="Times New Roman" w:cs="Times New Roman"/>
          <w:sz w:val="24"/>
          <w:szCs w:val="24"/>
        </w:rPr>
        <w:t>ly</w:t>
      </w:r>
      <w:r w:rsidR="00C9096E">
        <w:rPr>
          <w:rFonts w:ascii="Times New Roman" w:hAnsi="Times New Roman" w:cs="Times New Roman"/>
          <w:sz w:val="24"/>
          <w:szCs w:val="24"/>
        </w:rPr>
        <w:t>, as we</w:t>
      </w:r>
      <w:r w:rsidR="00FA08DA">
        <w:rPr>
          <w:rFonts w:ascii="Times New Roman" w:hAnsi="Times New Roman" w:cs="Times New Roman"/>
          <w:sz w:val="24"/>
          <w:szCs w:val="24"/>
        </w:rPr>
        <w:t xml:space="preserve"> have seen, </w:t>
      </w:r>
      <w:r w:rsidR="00C808E3">
        <w:rPr>
          <w:rFonts w:ascii="Times New Roman" w:hAnsi="Times New Roman" w:cs="Times New Roman"/>
          <w:sz w:val="24"/>
          <w:szCs w:val="24"/>
        </w:rPr>
        <w:t xml:space="preserve">the </w:t>
      </w:r>
      <w:r w:rsidR="00FA08DA">
        <w:rPr>
          <w:rFonts w:ascii="Times New Roman" w:hAnsi="Times New Roman" w:cs="Times New Roman"/>
          <w:sz w:val="24"/>
          <w:szCs w:val="24"/>
        </w:rPr>
        <w:t>dichotomy</w:t>
      </w:r>
      <w:r w:rsidR="00C9096E">
        <w:rPr>
          <w:rFonts w:ascii="Times New Roman" w:hAnsi="Times New Roman" w:cs="Times New Roman"/>
          <w:sz w:val="24"/>
          <w:szCs w:val="24"/>
        </w:rPr>
        <w:t xml:space="preserve"> is eas</w:t>
      </w:r>
      <w:r w:rsidR="00C808E3">
        <w:rPr>
          <w:rFonts w:ascii="Times New Roman" w:hAnsi="Times New Roman" w:cs="Times New Roman"/>
          <w:sz w:val="24"/>
          <w:szCs w:val="24"/>
        </w:rPr>
        <w:t>ily</w:t>
      </w:r>
      <w:r w:rsidR="00C9096E">
        <w:rPr>
          <w:rFonts w:ascii="Times New Roman" w:hAnsi="Times New Roman" w:cs="Times New Roman"/>
          <w:sz w:val="24"/>
          <w:szCs w:val="24"/>
        </w:rPr>
        <w:t xml:space="preserve"> circumvented.</w:t>
      </w:r>
      <w:r>
        <w:rPr>
          <w:rFonts w:ascii="Times New Roman" w:hAnsi="Times New Roman" w:cs="Times New Roman"/>
          <w:sz w:val="24"/>
          <w:szCs w:val="24"/>
        </w:rPr>
        <w:t xml:space="preserve"> Th</w:t>
      </w:r>
      <w:r w:rsidR="00C808E3">
        <w:rPr>
          <w:rFonts w:ascii="Times New Roman" w:hAnsi="Times New Roman" w:cs="Times New Roman"/>
          <w:sz w:val="24"/>
          <w:szCs w:val="24"/>
        </w:rPr>
        <w:t>erefore</w:t>
      </w:r>
      <w:r>
        <w:rPr>
          <w:rFonts w:ascii="Times New Roman" w:hAnsi="Times New Roman" w:cs="Times New Roman"/>
          <w:sz w:val="24"/>
          <w:szCs w:val="24"/>
        </w:rPr>
        <w:t>, broade</w:t>
      </w:r>
      <w:r w:rsidR="00267501">
        <w:rPr>
          <w:rFonts w:ascii="Times New Roman" w:hAnsi="Times New Roman" w:cs="Times New Roman"/>
          <w:sz w:val="24"/>
          <w:szCs w:val="24"/>
        </w:rPr>
        <w:t>ning the scope</w:t>
      </w:r>
      <w:r>
        <w:rPr>
          <w:rFonts w:ascii="Times New Roman" w:hAnsi="Times New Roman" w:cs="Times New Roman"/>
          <w:sz w:val="24"/>
          <w:szCs w:val="24"/>
        </w:rPr>
        <w:t xml:space="preserve"> of </w:t>
      </w:r>
      <w:r w:rsidR="00267501">
        <w:rPr>
          <w:rFonts w:ascii="Times New Roman" w:hAnsi="Times New Roman" w:cs="Times New Roman"/>
          <w:sz w:val="24"/>
          <w:szCs w:val="24"/>
        </w:rPr>
        <w:t>A</w:t>
      </w:r>
      <w:r>
        <w:rPr>
          <w:rFonts w:ascii="Times New Roman" w:hAnsi="Times New Roman" w:cs="Times New Roman"/>
          <w:sz w:val="24"/>
          <w:szCs w:val="24"/>
        </w:rPr>
        <w:t>rticle 7,</w:t>
      </w:r>
      <w:r w:rsidR="00FA08DA">
        <w:rPr>
          <w:rFonts w:ascii="Times New Roman" w:hAnsi="Times New Roman" w:cs="Times New Roman"/>
          <w:sz w:val="24"/>
          <w:szCs w:val="24"/>
        </w:rPr>
        <w:t xml:space="preserve"> </w:t>
      </w:r>
      <w:r w:rsidR="00C808E3">
        <w:rPr>
          <w:rFonts w:ascii="Times New Roman" w:hAnsi="Times New Roman" w:cs="Times New Roman"/>
          <w:sz w:val="24"/>
          <w:szCs w:val="24"/>
        </w:rPr>
        <w:t xml:space="preserve">and </w:t>
      </w:r>
      <w:r w:rsidR="00FA08DA">
        <w:rPr>
          <w:rFonts w:ascii="Times New Roman" w:hAnsi="Times New Roman" w:cs="Times New Roman"/>
          <w:sz w:val="24"/>
          <w:szCs w:val="24"/>
        </w:rPr>
        <w:t>adopting a solution reflecting</w:t>
      </w:r>
      <w:r>
        <w:rPr>
          <w:rFonts w:ascii="Times New Roman" w:hAnsi="Times New Roman" w:cs="Times New Roman"/>
          <w:sz w:val="24"/>
          <w:szCs w:val="24"/>
        </w:rPr>
        <w:t xml:space="preserve"> the one proposed by the AG in </w:t>
      </w:r>
      <w:r w:rsidR="00C808E3">
        <w:rPr>
          <w:rFonts w:ascii="Times New Roman" w:hAnsi="Times New Roman" w:cs="Times New Roman"/>
          <w:sz w:val="24"/>
          <w:szCs w:val="24"/>
        </w:rPr>
        <w:t xml:space="preserve">the </w:t>
      </w:r>
      <w:r>
        <w:rPr>
          <w:rFonts w:ascii="Times New Roman" w:hAnsi="Times New Roman" w:cs="Times New Roman"/>
          <w:sz w:val="24"/>
          <w:szCs w:val="24"/>
        </w:rPr>
        <w:t xml:space="preserve">2004 cases, could solve several problems. </w:t>
      </w:r>
      <w:r w:rsidR="00C808E3">
        <w:rPr>
          <w:rFonts w:ascii="Times New Roman" w:hAnsi="Times New Roman" w:cs="Times New Roman"/>
          <w:sz w:val="24"/>
          <w:szCs w:val="24"/>
        </w:rPr>
        <w:t>I</w:t>
      </w:r>
      <w:r w:rsidR="00E21197">
        <w:rPr>
          <w:rFonts w:ascii="Times New Roman" w:hAnsi="Times New Roman" w:cs="Times New Roman"/>
          <w:sz w:val="24"/>
          <w:szCs w:val="24"/>
        </w:rPr>
        <w:t xml:space="preserve">t would </w:t>
      </w:r>
      <w:r w:rsidR="00443F69">
        <w:rPr>
          <w:rFonts w:ascii="Times New Roman" w:hAnsi="Times New Roman" w:cs="Times New Roman"/>
          <w:sz w:val="24"/>
          <w:szCs w:val="24"/>
        </w:rPr>
        <w:t>solve</w:t>
      </w:r>
      <w:r w:rsidR="00E21197">
        <w:rPr>
          <w:rFonts w:ascii="Times New Roman" w:hAnsi="Times New Roman" w:cs="Times New Roman"/>
          <w:sz w:val="24"/>
          <w:szCs w:val="24"/>
        </w:rPr>
        <w:t xml:space="preserve"> the </w:t>
      </w:r>
      <w:r w:rsidR="00C808E3">
        <w:rPr>
          <w:rFonts w:ascii="Times New Roman" w:hAnsi="Times New Roman" w:cs="Times New Roman"/>
          <w:sz w:val="24"/>
          <w:szCs w:val="24"/>
        </w:rPr>
        <w:t xml:space="preserve">issue of the </w:t>
      </w:r>
      <w:r w:rsidR="00E21197">
        <w:rPr>
          <w:rFonts w:ascii="Times New Roman" w:hAnsi="Times New Roman" w:cs="Times New Roman"/>
          <w:sz w:val="24"/>
          <w:szCs w:val="24"/>
        </w:rPr>
        <w:t xml:space="preserve">status of sensor-generated and mined data, qualifying the investment </w:t>
      </w:r>
      <w:r w:rsidR="0088026A">
        <w:rPr>
          <w:rFonts w:ascii="Times New Roman" w:hAnsi="Times New Roman" w:cs="Times New Roman"/>
          <w:sz w:val="24"/>
          <w:szCs w:val="24"/>
        </w:rPr>
        <w:t xml:space="preserve">involved in </w:t>
      </w:r>
      <w:r w:rsidR="00C808E3">
        <w:rPr>
          <w:rFonts w:ascii="Times New Roman" w:hAnsi="Times New Roman" w:cs="Times New Roman"/>
          <w:sz w:val="24"/>
          <w:szCs w:val="24"/>
        </w:rPr>
        <w:t>its obtention</w:t>
      </w:r>
      <w:r w:rsidR="00E21197">
        <w:rPr>
          <w:rFonts w:ascii="Times New Roman" w:hAnsi="Times New Roman" w:cs="Times New Roman"/>
          <w:sz w:val="24"/>
          <w:szCs w:val="24"/>
        </w:rPr>
        <w:t xml:space="preserve"> as relevant under </w:t>
      </w:r>
      <w:r w:rsidR="00267501">
        <w:rPr>
          <w:rFonts w:ascii="Times New Roman" w:hAnsi="Times New Roman" w:cs="Times New Roman"/>
          <w:sz w:val="24"/>
          <w:szCs w:val="24"/>
        </w:rPr>
        <w:t>A</w:t>
      </w:r>
      <w:r w:rsidR="00E21197">
        <w:rPr>
          <w:rFonts w:ascii="Times New Roman" w:hAnsi="Times New Roman" w:cs="Times New Roman"/>
          <w:sz w:val="24"/>
          <w:szCs w:val="24"/>
        </w:rPr>
        <w:t>rticle 7. In addition, even in the absence of an intervention to counter the negative consequences of the Ryanair judgment, granting protection to a larger number of databases would guar</w:t>
      </w:r>
      <w:r w:rsidR="002C746C">
        <w:rPr>
          <w:rFonts w:ascii="Times New Roman" w:hAnsi="Times New Roman" w:cs="Times New Roman"/>
          <w:sz w:val="24"/>
          <w:szCs w:val="24"/>
        </w:rPr>
        <w:t>antee a broader</w:t>
      </w:r>
      <w:r w:rsidR="00E21197">
        <w:rPr>
          <w:rFonts w:ascii="Times New Roman" w:hAnsi="Times New Roman" w:cs="Times New Roman"/>
          <w:sz w:val="24"/>
          <w:szCs w:val="24"/>
        </w:rPr>
        <w:t xml:space="preserve"> application of </w:t>
      </w:r>
      <w:r w:rsidR="00267501">
        <w:rPr>
          <w:rFonts w:ascii="Times New Roman" w:hAnsi="Times New Roman" w:cs="Times New Roman"/>
          <w:sz w:val="24"/>
          <w:szCs w:val="24"/>
        </w:rPr>
        <w:t>A</w:t>
      </w:r>
      <w:r w:rsidR="00E21197">
        <w:rPr>
          <w:rFonts w:ascii="Times New Roman" w:hAnsi="Times New Roman" w:cs="Times New Roman"/>
          <w:sz w:val="24"/>
          <w:szCs w:val="24"/>
        </w:rPr>
        <w:t>rticles 8 and 15 of the Directive</w:t>
      </w:r>
      <w:r w:rsidR="003D219C">
        <w:rPr>
          <w:rFonts w:ascii="Times New Roman" w:hAnsi="Times New Roman" w:cs="Times New Roman"/>
          <w:sz w:val="24"/>
          <w:szCs w:val="24"/>
        </w:rPr>
        <w:t xml:space="preserve"> and of the new exceptions introduced by the DSM Directive.</w:t>
      </w:r>
      <w:r w:rsidR="00166834">
        <w:rPr>
          <w:rStyle w:val="FootnoteReference"/>
          <w:rFonts w:ascii="Times New Roman" w:hAnsi="Times New Roman" w:cs="Times New Roman"/>
          <w:sz w:val="24"/>
          <w:szCs w:val="24"/>
        </w:rPr>
        <w:footnoteReference w:id="83"/>
      </w:r>
    </w:p>
    <w:p w14:paraId="5C0AB047" w14:textId="33F43A37" w:rsidR="00D85980" w:rsidRDefault="006431FB"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06B857" w14:textId="71FFF2A5" w:rsidR="007468D5" w:rsidRDefault="0088026A" w:rsidP="00053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r w:rsidR="007468D5">
        <w:rPr>
          <w:rFonts w:ascii="Times New Roman" w:hAnsi="Times New Roman" w:cs="Times New Roman"/>
          <w:sz w:val="24"/>
          <w:szCs w:val="24"/>
        </w:rPr>
        <w:t xml:space="preserve"> intervention</w:t>
      </w:r>
      <w:r w:rsidR="00B0010A">
        <w:rPr>
          <w:rFonts w:ascii="Times New Roman" w:hAnsi="Times New Roman" w:cs="Times New Roman"/>
          <w:sz w:val="24"/>
          <w:szCs w:val="24"/>
        </w:rPr>
        <w:t xml:space="preserve"> </w:t>
      </w:r>
      <w:r>
        <w:rPr>
          <w:rFonts w:ascii="Times New Roman" w:hAnsi="Times New Roman" w:cs="Times New Roman"/>
          <w:sz w:val="24"/>
          <w:szCs w:val="24"/>
        </w:rPr>
        <w:t xml:space="preserve">of this kind </w:t>
      </w:r>
      <w:r w:rsidR="00B0010A">
        <w:rPr>
          <w:rFonts w:ascii="Times New Roman" w:hAnsi="Times New Roman" w:cs="Times New Roman"/>
          <w:sz w:val="24"/>
          <w:szCs w:val="24"/>
        </w:rPr>
        <w:t xml:space="preserve">seems to be the best solution. Indeed, while it is not possible to maintain the Directive </w:t>
      </w:r>
      <w:r>
        <w:rPr>
          <w:rFonts w:ascii="Times New Roman" w:hAnsi="Times New Roman" w:cs="Times New Roman"/>
          <w:sz w:val="24"/>
          <w:szCs w:val="24"/>
        </w:rPr>
        <w:t xml:space="preserve">in its present form </w:t>
      </w:r>
      <w:r w:rsidR="00B0010A">
        <w:rPr>
          <w:rFonts w:ascii="Times New Roman" w:hAnsi="Times New Roman" w:cs="Times New Roman"/>
          <w:sz w:val="24"/>
          <w:szCs w:val="24"/>
        </w:rPr>
        <w:t>for the above-mentioned reasons</w:t>
      </w:r>
      <w:r>
        <w:rPr>
          <w:rFonts w:ascii="Times New Roman" w:hAnsi="Times New Roman" w:cs="Times New Roman"/>
          <w:sz w:val="24"/>
          <w:szCs w:val="24"/>
        </w:rPr>
        <w:t>,</w:t>
      </w:r>
      <w:r w:rsidR="00B0010A">
        <w:rPr>
          <w:rFonts w:ascii="Times New Roman" w:hAnsi="Times New Roman" w:cs="Times New Roman"/>
          <w:sz w:val="24"/>
          <w:szCs w:val="24"/>
        </w:rPr>
        <w:t xml:space="preserve"> and because</w:t>
      </w:r>
      <w:r>
        <w:rPr>
          <w:rFonts w:ascii="Times New Roman" w:hAnsi="Times New Roman" w:cs="Times New Roman"/>
          <w:sz w:val="24"/>
          <w:szCs w:val="24"/>
        </w:rPr>
        <w:t xml:space="preserve"> – as</w:t>
      </w:r>
      <w:r w:rsidR="00B0010A">
        <w:rPr>
          <w:rFonts w:ascii="Times New Roman" w:hAnsi="Times New Roman" w:cs="Times New Roman"/>
          <w:sz w:val="24"/>
          <w:szCs w:val="24"/>
        </w:rPr>
        <w:t xml:space="preserve"> we have to keep in mind</w:t>
      </w:r>
      <w:r>
        <w:rPr>
          <w:rFonts w:ascii="Times New Roman" w:hAnsi="Times New Roman" w:cs="Times New Roman"/>
          <w:sz w:val="24"/>
          <w:szCs w:val="24"/>
        </w:rPr>
        <w:t xml:space="preserve"> – </w:t>
      </w:r>
      <w:r w:rsidR="00B0010A">
        <w:rPr>
          <w:rFonts w:ascii="Times New Roman" w:hAnsi="Times New Roman" w:cs="Times New Roman"/>
          <w:sz w:val="24"/>
          <w:szCs w:val="24"/>
        </w:rPr>
        <w:t xml:space="preserve">it was designed for a different environment, alternatives </w:t>
      </w:r>
      <w:r>
        <w:rPr>
          <w:rFonts w:ascii="Times New Roman" w:hAnsi="Times New Roman" w:cs="Times New Roman"/>
          <w:sz w:val="24"/>
          <w:szCs w:val="24"/>
        </w:rPr>
        <w:t xml:space="preserve">such as </w:t>
      </w:r>
      <w:proofErr w:type="gramStart"/>
      <w:r w:rsidR="008D06ED">
        <w:rPr>
          <w:rFonts w:ascii="Times New Roman" w:hAnsi="Times New Roman" w:cs="Times New Roman"/>
          <w:sz w:val="24"/>
          <w:szCs w:val="24"/>
        </w:rPr>
        <w:t>a sui generis</w:t>
      </w:r>
      <w:proofErr w:type="gramEnd"/>
      <w:r w:rsidR="008D06ED">
        <w:rPr>
          <w:rFonts w:ascii="Times New Roman" w:hAnsi="Times New Roman" w:cs="Times New Roman"/>
          <w:sz w:val="24"/>
          <w:szCs w:val="24"/>
        </w:rPr>
        <w:t xml:space="preserve"> right </w:t>
      </w:r>
      <w:r>
        <w:rPr>
          <w:rFonts w:ascii="Times New Roman" w:hAnsi="Times New Roman" w:cs="Times New Roman"/>
          <w:sz w:val="24"/>
          <w:szCs w:val="24"/>
        </w:rPr>
        <w:t>for</w:t>
      </w:r>
      <w:r w:rsidR="008D06ED">
        <w:rPr>
          <w:rFonts w:ascii="Times New Roman" w:hAnsi="Times New Roman" w:cs="Times New Roman"/>
          <w:sz w:val="24"/>
          <w:szCs w:val="24"/>
        </w:rPr>
        <w:t xml:space="preserve"> data are</w:t>
      </w:r>
      <w:r w:rsidR="00B0010A">
        <w:rPr>
          <w:rFonts w:ascii="Times New Roman" w:hAnsi="Times New Roman" w:cs="Times New Roman"/>
          <w:sz w:val="24"/>
          <w:szCs w:val="24"/>
        </w:rPr>
        <w:t xml:space="preserve"> </w:t>
      </w:r>
      <w:r>
        <w:rPr>
          <w:rFonts w:ascii="Times New Roman" w:hAnsi="Times New Roman" w:cs="Times New Roman"/>
          <w:sz w:val="24"/>
          <w:szCs w:val="24"/>
        </w:rPr>
        <w:t xml:space="preserve">strongly criticized by </w:t>
      </w:r>
      <w:r w:rsidR="00B0010A">
        <w:rPr>
          <w:rFonts w:ascii="Times New Roman" w:hAnsi="Times New Roman" w:cs="Times New Roman"/>
          <w:sz w:val="24"/>
          <w:szCs w:val="24"/>
        </w:rPr>
        <w:t>many scholars.</w:t>
      </w:r>
      <w:r w:rsidR="00B0010A">
        <w:rPr>
          <w:rStyle w:val="FootnoteReference"/>
          <w:rFonts w:ascii="Times New Roman" w:hAnsi="Times New Roman" w:cs="Times New Roman"/>
          <w:sz w:val="24"/>
          <w:szCs w:val="24"/>
        </w:rPr>
        <w:footnoteReference w:id="84"/>
      </w:r>
    </w:p>
    <w:p w14:paraId="7C42BD21" w14:textId="77777777" w:rsidR="0088026A" w:rsidRDefault="0088026A" w:rsidP="00053086">
      <w:pPr>
        <w:spacing w:after="0" w:line="240" w:lineRule="auto"/>
        <w:jc w:val="both"/>
        <w:rPr>
          <w:rFonts w:ascii="Times New Roman" w:hAnsi="Times New Roman" w:cs="Times New Roman"/>
          <w:sz w:val="24"/>
          <w:szCs w:val="24"/>
        </w:rPr>
      </w:pPr>
    </w:p>
    <w:p w14:paraId="76CE34F7" w14:textId="2578A4B3" w:rsidR="00C9096E" w:rsidRDefault="00D85980" w:rsidP="00AD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 course, </w:t>
      </w:r>
      <w:r w:rsidR="0088026A">
        <w:rPr>
          <w:rFonts w:ascii="Times New Roman" w:hAnsi="Times New Roman" w:cs="Times New Roman"/>
          <w:sz w:val="24"/>
          <w:szCs w:val="24"/>
        </w:rPr>
        <w:t>this solution</w:t>
      </w:r>
      <w:r>
        <w:rPr>
          <w:rFonts w:ascii="Times New Roman" w:hAnsi="Times New Roman" w:cs="Times New Roman"/>
          <w:sz w:val="24"/>
          <w:szCs w:val="24"/>
        </w:rPr>
        <w:t xml:space="preserve"> would entail a risk for </w:t>
      </w:r>
      <w:r w:rsidR="0088026A">
        <w:rPr>
          <w:rFonts w:ascii="Times New Roman" w:hAnsi="Times New Roman" w:cs="Times New Roman"/>
          <w:sz w:val="24"/>
          <w:szCs w:val="24"/>
        </w:rPr>
        <w:t>data</w:t>
      </w:r>
      <w:r>
        <w:rPr>
          <w:rFonts w:ascii="Times New Roman" w:hAnsi="Times New Roman" w:cs="Times New Roman"/>
          <w:sz w:val="24"/>
          <w:szCs w:val="24"/>
        </w:rPr>
        <w:t xml:space="preserve"> access</w:t>
      </w:r>
      <w:r w:rsidR="00195499">
        <w:rPr>
          <w:rFonts w:ascii="Times New Roman" w:hAnsi="Times New Roman" w:cs="Times New Roman"/>
          <w:sz w:val="24"/>
          <w:szCs w:val="24"/>
        </w:rPr>
        <w:t>, especially in the case of sole-source databases</w:t>
      </w:r>
      <w:r>
        <w:rPr>
          <w:rFonts w:ascii="Times New Roman" w:hAnsi="Times New Roman" w:cs="Times New Roman"/>
          <w:sz w:val="24"/>
          <w:szCs w:val="24"/>
        </w:rPr>
        <w:t xml:space="preserve">. However, </w:t>
      </w:r>
      <w:r w:rsidR="0088026A">
        <w:rPr>
          <w:rFonts w:ascii="Times New Roman" w:hAnsi="Times New Roman" w:cs="Times New Roman"/>
          <w:sz w:val="24"/>
          <w:szCs w:val="24"/>
        </w:rPr>
        <w:t xml:space="preserve">it </w:t>
      </w:r>
      <w:r w:rsidR="00195499">
        <w:rPr>
          <w:rFonts w:ascii="Times New Roman" w:hAnsi="Times New Roman" w:cs="Times New Roman"/>
          <w:sz w:val="24"/>
          <w:szCs w:val="24"/>
        </w:rPr>
        <w:t xml:space="preserve">would not </w:t>
      </w:r>
      <w:r w:rsidR="0088026A">
        <w:rPr>
          <w:rFonts w:ascii="Times New Roman" w:hAnsi="Times New Roman" w:cs="Times New Roman"/>
          <w:sz w:val="24"/>
          <w:szCs w:val="24"/>
        </w:rPr>
        <w:t xml:space="preserve">affect </w:t>
      </w:r>
      <w:r w:rsidR="00195499">
        <w:rPr>
          <w:rFonts w:ascii="Times New Roman" w:hAnsi="Times New Roman" w:cs="Times New Roman"/>
          <w:sz w:val="24"/>
          <w:szCs w:val="24"/>
        </w:rPr>
        <w:t>the creation of data</w:t>
      </w:r>
      <w:r w:rsidR="0088026A">
        <w:rPr>
          <w:rFonts w:ascii="Times New Roman" w:hAnsi="Times New Roman" w:cs="Times New Roman"/>
          <w:sz w:val="24"/>
          <w:szCs w:val="24"/>
        </w:rPr>
        <w:t xml:space="preserve"> itself</w:t>
      </w:r>
      <w:r w:rsidR="00195499">
        <w:rPr>
          <w:rFonts w:ascii="Times New Roman" w:hAnsi="Times New Roman" w:cs="Times New Roman"/>
          <w:sz w:val="24"/>
          <w:szCs w:val="24"/>
        </w:rPr>
        <w:t xml:space="preserve">, but only cases in which creation and collection are not separable. Furthermore, </w:t>
      </w:r>
      <w:r w:rsidR="0088026A">
        <w:rPr>
          <w:rFonts w:ascii="Times New Roman" w:hAnsi="Times New Roman" w:cs="Times New Roman"/>
          <w:sz w:val="24"/>
          <w:szCs w:val="24"/>
        </w:rPr>
        <w:t xml:space="preserve">this </w:t>
      </w:r>
      <w:r w:rsidR="00195499">
        <w:rPr>
          <w:rFonts w:ascii="Times New Roman" w:hAnsi="Times New Roman" w:cs="Times New Roman"/>
          <w:sz w:val="24"/>
          <w:szCs w:val="24"/>
        </w:rPr>
        <w:t xml:space="preserve">risk </w:t>
      </w:r>
      <w:r>
        <w:rPr>
          <w:rFonts w:ascii="Times New Roman" w:hAnsi="Times New Roman" w:cs="Times New Roman"/>
          <w:sz w:val="24"/>
          <w:szCs w:val="24"/>
        </w:rPr>
        <w:t xml:space="preserve">could be overcome </w:t>
      </w:r>
      <w:r w:rsidR="0088026A">
        <w:rPr>
          <w:rFonts w:ascii="Times New Roman" w:hAnsi="Times New Roman" w:cs="Times New Roman"/>
          <w:sz w:val="24"/>
          <w:szCs w:val="24"/>
        </w:rPr>
        <w:t xml:space="preserve">by introducing </w:t>
      </w:r>
      <w:r>
        <w:rPr>
          <w:rFonts w:ascii="Times New Roman" w:hAnsi="Times New Roman" w:cs="Times New Roman"/>
          <w:sz w:val="24"/>
          <w:szCs w:val="24"/>
        </w:rPr>
        <w:t>compulsory licenses</w:t>
      </w:r>
      <w:r w:rsidR="0088026A">
        <w:rPr>
          <w:rFonts w:ascii="Times New Roman" w:hAnsi="Times New Roman" w:cs="Times New Roman"/>
          <w:sz w:val="24"/>
          <w:szCs w:val="24"/>
        </w:rPr>
        <w:t>,</w:t>
      </w:r>
      <w:r w:rsidR="00753827">
        <w:rPr>
          <w:rStyle w:val="FootnoteReference"/>
          <w:rFonts w:ascii="Times New Roman" w:hAnsi="Times New Roman" w:cs="Times New Roman"/>
          <w:sz w:val="24"/>
          <w:szCs w:val="24"/>
        </w:rPr>
        <w:footnoteReference w:id="85"/>
      </w:r>
      <w:r w:rsidR="00FA08DA">
        <w:rPr>
          <w:rFonts w:ascii="Times New Roman" w:hAnsi="Times New Roman" w:cs="Times New Roman"/>
          <w:sz w:val="24"/>
          <w:szCs w:val="24"/>
        </w:rPr>
        <w:t xml:space="preserve"> </w:t>
      </w:r>
      <w:r w:rsidR="0088026A">
        <w:rPr>
          <w:rFonts w:ascii="Times New Roman" w:hAnsi="Times New Roman" w:cs="Times New Roman"/>
          <w:sz w:val="24"/>
          <w:szCs w:val="24"/>
        </w:rPr>
        <w:t xml:space="preserve">which </w:t>
      </w:r>
      <w:r w:rsidR="00FA08DA">
        <w:rPr>
          <w:rFonts w:ascii="Times New Roman" w:hAnsi="Times New Roman" w:cs="Times New Roman"/>
          <w:sz w:val="24"/>
          <w:szCs w:val="24"/>
        </w:rPr>
        <w:t>the right holder</w:t>
      </w:r>
      <w:r>
        <w:rPr>
          <w:rFonts w:ascii="Times New Roman" w:hAnsi="Times New Roman" w:cs="Times New Roman"/>
          <w:sz w:val="24"/>
          <w:szCs w:val="24"/>
        </w:rPr>
        <w:t xml:space="preserve"> </w:t>
      </w:r>
      <w:r w:rsidR="0088026A">
        <w:rPr>
          <w:rFonts w:ascii="Times New Roman" w:hAnsi="Times New Roman" w:cs="Times New Roman"/>
          <w:sz w:val="24"/>
          <w:szCs w:val="24"/>
        </w:rPr>
        <w:t xml:space="preserve">would have </w:t>
      </w:r>
      <w:r>
        <w:rPr>
          <w:rFonts w:ascii="Times New Roman" w:hAnsi="Times New Roman" w:cs="Times New Roman"/>
          <w:sz w:val="24"/>
          <w:szCs w:val="24"/>
        </w:rPr>
        <w:t xml:space="preserve">to </w:t>
      </w:r>
      <w:r w:rsidR="0088026A">
        <w:rPr>
          <w:rFonts w:ascii="Times New Roman" w:hAnsi="Times New Roman" w:cs="Times New Roman"/>
          <w:sz w:val="24"/>
          <w:szCs w:val="24"/>
        </w:rPr>
        <w:t xml:space="preserve">grant </w:t>
      </w:r>
      <w:r>
        <w:rPr>
          <w:rFonts w:ascii="Times New Roman" w:hAnsi="Times New Roman" w:cs="Times New Roman"/>
          <w:sz w:val="24"/>
          <w:szCs w:val="24"/>
        </w:rPr>
        <w:t>under fair, reasonable and non-discriminatory terms</w:t>
      </w:r>
      <w:r w:rsidR="003D08E2">
        <w:rPr>
          <w:rFonts w:ascii="Times New Roman" w:hAnsi="Times New Roman" w:cs="Times New Roman"/>
          <w:sz w:val="24"/>
          <w:szCs w:val="24"/>
        </w:rPr>
        <w:t>.</w:t>
      </w:r>
      <w:r w:rsidR="00950D32">
        <w:rPr>
          <w:rFonts w:ascii="Times New Roman" w:hAnsi="Times New Roman" w:cs="Times New Roman"/>
          <w:sz w:val="24"/>
          <w:szCs w:val="24"/>
        </w:rPr>
        <w:t xml:space="preserve"> </w:t>
      </w:r>
      <w:r w:rsidR="0088026A">
        <w:rPr>
          <w:rFonts w:ascii="Times New Roman" w:hAnsi="Times New Roman" w:cs="Times New Roman"/>
          <w:sz w:val="24"/>
          <w:szCs w:val="24"/>
        </w:rPr>
        <w:t>T</w:t>
      </w:r>
      <w:r w:rsidR="003A00AD">
        <w:rPr>
          <w:rFonts w:ascii="Times New Roman" w:hAnsi="Times New Roman" w:cs="Times New Roman"/>
          <w:sz w:val="24"/>
          <w:szCs w:val="24"/>
        </w:rPr>
        <w:t>h</w:t>
      </w:r>
      <w:r w:rsidR="0079372B">
        <w:rPr>
          <w:rFonts w:ascii="Times New Roman" w:hAnsi="Times New Roman" w:cs="Times New Roman"/>
          <w:sz w:val="24"/>
          <w:szCs w:val="24"/>
        </w:rPr>
        <w:t xml:space="preserve">is solution was firstly </w:t>
      </w:r>
      <w:r w:rsidR="0088026A">
        <w:rPr>
          <w:rFonts w:ascii="Times New Roman" w:hAnsi="Times New Roman" w:cs="Times New Roman"/>
          <w:sz w:val="24"/>
          <w:szCs w:val="24"/>
        </w:rPr>
        <w:t>put forward</w:t>
      </w:r>
      <w:r w:rsidR="0079372B">
        <w:rPr>
          <w:rFonts w:ascii="Times New Roman" w:hAnsi="Times New Roman" w:cs="Times New Roman"/>
          <w:sz w:val="24"/>
          <w:szCs w:val="24"/>
        </w:rPr>
        <w:t xml:space="preserve"> in the 1992 Proposal</w:t>
      </w:r>
      <w:r w:rsidR="0079372B">
        <w:rPr>
          <w:rStyle w:val="FootnoteReference"/>
          <w:rFonts w:ascii="Times New Roman" w:hAnsi="Times New Roman" w:cs="Times New Roman"/>
          <w:sz w:val="24"/>
          <w:szCs w:val="24"/>
        </w:rPr>
        <w:footnoteReference w:id="86"/>
      </w:r>
      <w:r w:rsidR="0079372B">
        <w:rPr>
          <w:rFonts w:ascii="Times New Roman" w:hAnsi="Times New Roman" w:cs="Times New Roman"/>
          <w:sz w:val="24"/>
          <w:szCs w:val="24"/>
        </w:rPr>
        <w:t xml:space="preserve"> </w:t>
      </w:r>
      <w:r w:rsidR="002F6BCB">
        <w:rPr>
          <w:rFonts w:ascii="Times New Roman" w:hAnsi="Times New Roman" w:cs="Times New Roman"/>
          <w:sz w:val="24"/>
          <w:szCs w:val="24"/>
        </w:rPr>
        <w:t>regarding sole source databases</w:t>
      </w:r>
      <w:r w:rsidR="0088026A">
        <w:rPr>
          <w:rFonts w:ascii="Times New Roman" w:hAnsi="Times New Roman" w:cs="Times New Roman"/>
          <w:sz w:val="24"/>
          <w:szCs w:val="24"/>
        </w:rPr>
        <w:t>,</w:t>
      </w:r>
      <w:r w:rsidR="0079372B">
        <w:rPr>
          <w:rStyle w:val="FootnoteReference"/>
          <w:rFonts w:ascii="Times New Roman" w:hAnsi="Times New Roman" w:cs="Times New Roman"/>
          <w:sz w:val="24"/>
          <w:szCs w:val="24"/>
        </w:rPr>
        <w:footnoteReference w:id="87"/>
      </w:r>
      <w:r w:rsidR="002F6BCB">
        <w:rPr>
          <w:rFonts w:ascii="Times New Roman" w:hAnsi="Times New Roman" w:cs="Times New Roman"/>
          <w:sz w:val="24"/>
          <w:szCs w:val="24"/>
        </w:rPr>
        <w:t xml:space="preserve"> and </w:t>
      </w:r>
      <w:r w:rsidR="0088026A">
        <w:rPr>
          <w:rFonts w:ascii="Times New Roman" w:hAnsi="Times New Roman" w:cs="Times New Roman"/>
          <w:sz w:val="24"/>
          <w:szCs w:val="24"/>
        </w:rPr>
        <w:t xml:space="preserve">needs to </w:t>
      </w:r>
      <w:r w:rsidR="002F6BCB">
        <w:rPr>
          <w:rFonts w:ascii="Times New Roman" w:hAnsi="Times New Roman" w:cs="Times New Roman"/>
          <w:sz w:val="24"/>
          <w:szCs w:val="24"/>
        </w:rPr>
        <w:t xml:space="preserve">be re-proposed in order to achieve a </w:t>
      </w:r>
      <w:r w:rsidR="0088026A">
        <w:rPr>
          <w:rFonts w:ascii="Times New Roman" w:hAnsi="Times New Roman" w:cs="Times New Roman"/>
          <w:sz w:val="24"/>
          <w:szCs w:val="24"/>
        </w:rPr>
        <w:t xml:space="preserve">better </w:t>
      </w:r>
      <w:r w:rsidR="002F6BCB">
        <w:rPr>
          <w:rFonts w:ascii="Times New Roman" w:hAnsi="Times New Roman" w:cs="Times New Roman"/>
          <w:sz w:val="24"/>
          <w:szCs w:val="24"/>
        </w:rPr>
        <w:t>balance</w:t>
      </w:r>
      <w:r w:rsidR="00E21C42">
        <w:rPr>
          <w:rFonts w:ascii="Times New Roman" w:hAnsi="Times New Roman" w:cs="Times New Roman"/>
          <w:sz w:val="24"/>
          <w:szCs w:val="24"/>
        </w:rPr>
        <w:t xml:space="preserve"> </w:t>
      </w:r>
      <w:proofErr w:type="spellStart"/>
      <w:r w:rsidR="00E21C42">
        <w:rPr>
          <w:rFonts w:ascii="Times New Roman" w:hAnsi="Times New Roman" w:cs="Times New Roman"/>
          <w:sz w:val="24"/>
          <w:szCs w:val="24"/>
        </w:rPr>
        <w:t>betweem</w:t>
      </w:r>
      <w:proofErr w:type="spellEnd"/>
      <w:r w:rsidR="002F6BCB">
        <w:rPr>
          <w:rFonts w:ascii="Times New Roman" w:hAnsi="Times New Roman" w:cs="Times New Roman"/>
          <w:sz w:val="24"/>
          <w:szCs w:val="24"/>
        </w:rPr>
        <w:t xml:space="preserve"> the easier protection arising from the </w:t>
      </w:r>
      <w:r w:rsidR="0088026A">
        <w:rPr>
          <w:rFonts w:ascii="Times New Roman" w:hAnsi="Times New Roman" w:cs="Times New Roman"/>
          <w:sz w:val="24"/>
          <w:szCs w:val="24"/>
        </w:rPr>
        <w:t>removal</w:t>
      </w:r>
      <w:r w:rsidR="002F6BCB">
        <w:rPr>
          <w:rFonts w:ascii="Times New Roman" w:hAnsi="Times New Roman" w:cs="Times New Roman"/>
          <w:sz w:val="24"/>
          <w:szCs w:val="24"/>
        </w:rPr>
        <w:t xml:space="preserve"> of the creation/obtaining dichotomy and access issues in all those cases in which it is not possible to collect data in other ways.</w:t>
      </w:r>
      <w:r w:rsidR="00E832F8">
        <w:rPr>
          <w:rFonts w:ascii="Times New Roman" w:hAnsi="Times New Roman" w:cs="Times New Roman"/>
          <w:sz w:val="24"/>
          <w:szCs w:val="24"/>
        </w:rPr>
        <w:t xml:space="preserve"> As suggested in 1992, the content of these licenses should encompass the extraction and reutilization of the contents of the database</w:t>
      </w:r>
      <w:r w:rsidR="000E0027">
        <w:rPr>
          <w:rFonts w:ascii="Times New Roman" w:hAnsi="Times New Roman" w:cs="Times New Roman"/>
          <w:sz w:val="24"/>
          <w:szCs w:val="24"/>
        </w:rPr>
        <w:t xml:space="preserve"> for commercial purposes</w:t>
      </w:r>
      <w:r w:rsidR="00D722C6">
        <w:rPr>
          <w:rFonts w:ascii="Times New Roman" w:hAnsi="Times New Roman" w:cs="Times New Roman"/>
          <w:sz w:val="24"/>
          <w:szCs w:val="24"/>
        </w:rPr>
        <w:t xml:space="preserve">. However, as </w:t>
      </w:r>
      <w:r w:rsidR="00E149A4">
        <w:rPr>
          <w:rFonts w:ascii="Times New Roman" w:hAnsi="Times New Roman" w:cs="Times New Roman"/>
          <w:sz w:val="24"/>
          <w:szCs w:val="24"/>
        </w:rPr>
        <w:t>argued long ago</w:t>
      </w:r>
      <w:r w:rsidR="003E426B">
        <w:rPr>
          <w:rFonts w:ascii="Times New Roman" w:hAnsi="Times New Roman" w:cs="Times New Roman"/>
          <w:sz w:val="24"/>
          <w:szCs w:val="24"/>
        </w:rPr>
        <w:t>,</w:t>
      </w:r>
      <w:r w:rsidR="00E149A4">
        <w:rPr>
          <w:rStyle w:val="FootnoteReference"/>
          <w:rFonts w:ascii="Times New Roman" w:hAnsi="Times New Roman" w:cs="Times New Roman"/>
          <w:sz w:val="24"/>
          <w:szCs w:val="24"/>
        </w:rPr>
        <w:footnoteReference w:id="88"/>
      </w:r>
      <w:r w:rsidR="000E0027">
        <w:rPr>
          <w:rFonts w:ascii="Times New Roman" w:hAnsi="Times New Roman" w:cs="Times New Roman"/>
          <w:sz w:val="24"/>
          <w:szCs w:val="24"/>
        </w:rPr>
        <w:t xml:space="preserve"> </w:t>
      </w:r>
      <w:r w:rsidR="003E426B">
        <w:rPr>
          <w:rFonts w:ascii="Times New Roman" w:hAnsi="Times New Roman" w:cs="Times New Roman"/>
          <w:sz w:val="24"/>
          <w:szCs w:val="24"/>
        </w:rPr>
        <w:t>a</w:t>
      </w:r>
      <w:r w:rsidR="000E0027">
        <w:rPr>
          <w:rFonts w:ascii="Times New Roman" w:hAnsi="Times New Roman" w:cs="Times New Roman"/>
          <w:sz w:val="24"/>
          <w:szCs w:val="24"/>
        </w:rPr>
        <w:t xml:space="preserve"> system</w:t>
      </w:r>
      <w:r w:rsidR="00E149A4">
        <w:rPr>
          <w:rFonts w:ascii="Times New Roman" w:hAnsi="Times New Roman" w:cs="Times New Roman"/>
          <w:sz w:val="24"/>
          <w:szCs w:val="24"/>
        </w:rPr>
        <w:t xml:space="preserve"> </w:t>
      </w:r>
      <w:r w:rsidR="003E426B">
        <w:rPr>
          <w:rFonts w:ascii="Times New Roman" w:hAnsi="Times New Roman" w:cs="Times New Roman"/>
          <w:sz w:val="24"/>
          <w:szCs w:val="24"/>
        </w:rPr>
        <w:t xml:space="preserve">of this kind </w:t>
      </w:r>
      <w:r w:rsidR="00E149A4">
        <w:rPr>
          <w:rFonts w:ascii="Times New Roman" w:hAnsi="Times New Roman" w:cs="Times New Roman"/>
          <w:sz w:val="24"/>
          <w:szCs w:val="24"/>
        </w:rPr>
        <w:t>should not le</w:t>
      </w:r>
      <w:r w:rsidR="003E426B">
        <w:rPr>
          <w:rFonts w:ascii="Times New Roman" w:hAnsi="Times New Roman" w:cs="Times New Roman"/>
          <w:sz w:val="24"/>
          <w:szCs w:val="24"/>
        </w:rPr>
        <w:t>a</w:t>
      </w:r>
      <w:r w:rsidR="00E149A4">
        <w:rPr>
          <w:rFonts w:ascii="Times New Roman" w:hAnsi="Times New Roman" w:cs="Times New Roman"/>
          <w:sz w:val="24"/>
          <w:szCs w:val="24"/>
        </w:rPr>
        <w:t>d to duplicative use of the content of the database b</w:t>
      </w:r>
      <w:r w:rsidR="00861C0D">
        <w:rPr>
          <w:rFonts w:ascii="Times New Roman" w:hAnsi="Times New Roman" w:cs="Times New Roman"/>
          <w:sz w:val="24"/>
          <w:szCs w:val="24"/>
        </w:rPr>
        <w:t xml:space="preserve">ut </w:t>
      </w:r>
      <w:r w:rsidR="003E426B">
        <w:rPr>
          <w:rFonts w:ascii="Times New Roman" w:hAnsi="Times New Roman" w:cs="Times New Roman"/>
          <w:sz w:val="24"/>
          <w:szCs w:val="24"/>
        </w:rPr>
        <w:t xml:space="preserve">should </w:t>
      </w:r>
      <w:r w:rsidR="00861C0D">
        <w:rPr>
          <w:rFonts w:ascii="Times New Roman" w:hAnsi="Times New Roman" w:cs="Times New Roman"/>
          <w:sz w:val="24"/>
          <w:szCs w:val="24"/>
        </w:rPr>
        <w:t xml:space="preserve">only cover </w:t>
      </w:r>
      <w:proofErr w:type="gramStart"/>
      <w:r w:rsidR="00861C0D">
        <w:rPr>
          <w:rFonts w:ascii="Times New Roman" w:hAnsi="Times New Roman" w:cs="Times New Roman"/>
          <w:sz w:val="24"/>
          <w:szCs w:val="24"/>
        </w:rPr>
        <w:t>adding-value</w:t>
      </w:r>
      <w:proofErr w:type="gramEnd"/>
      <w:r w:rsidR="00861C0D">
        <w:rPr>
          <w:rFonts w:ascii="Times New Roman" w:hAnsi="Times New Roman" w:cs="Times New Roman"/>
          <w:sz w:val="24"/>
          <w:szCs w:val="24"/>
        </w:rPr>
        <w:t xml:space="preserve"> uses or, at least, uses in sufficiently different</w:t>
      </w:r>
      <w:r w:rsidR="003E426B">
        <w:rPr>
          <w:rFonts w:ascii="Times New Roman" w:hAnsi="Times New Roman" w:cs="Times New Roman"/>
          <w:sz w:val="24"/>
          <w:szCs w:val="24"/>
        </w:rPr>
        <w:t xml:space="preserve"> contexts</w:t>
      </w:r>
      <w:r w:rsidR="00443F69">
        <w:rPr>
          <w:rFonts w:ascii="Times New Roman" w:hAnsi="Times New Roman" w:cs="Times New Roman"/>
          <w:sz w:val="24"/>
          <w:szCs w:val="24"/>
        </w:rPr>
        <w:t>.</w:t>
      </w:r>
      <w:r w:rsidR="00861C0D">
        <w:rPr>
          <w:rStyle w:val="FootnoteReference"/>
          <w:rFonts w:ascii="Times New Roman" w:hAnsi="Times New Roman" w:cs="Times New Roman"/>
          <w:sz w:val="24"/>
          <w:szCs w:val="24"/>
        </w:rPr>
        <w:footnoteReference w:id="89"/>
      </w:r>
      <w:r w:rsidR="000E0027">
        <w:rPr>
          <w:rFonts w:ascii="Times New Roman" w:hAnsi="Times New Roman" w:cs="Times New Roman"/>
          <w:sz w:val="24"/>
          <w:szCs w:val="24"/>
        </w:rPr>
        <w:t xml:space="preserve"> Finally,</w:t>
      </w:r>
      <w:r w:rsidR="002F6BCB">
        <w:rPr>
          <w:rFonts w:ascii="Times New Roman" w:hAnsi="Times New Roman" w:cs="Times New Roman"/>
          <w:sz w:val="24"/>
          <w:szCs w:val="24"/>
        </w:rPr>
        <w:t xml:space="preserve"> </w:t>
      </w:r>
      <w:r w:rsidR="000E0027">
        <w:rPr>
          <w:rFonts w:ascii="Times New Roman" w:hAnsi="Times New Roman" w:cs="Times New Roman"/>
          <w:sz w:val="24"/>
          <w:szCs w:val="24"/>
        </w:rPr>
        <w:t>t</w:t>
      </w:r>
      <w:r w:rsidR="00C9096E">
        <w:rPr>
          <w:rFonts w:ascii="Times New Roman" w:hAnsi="Times New Roman" w:cs="Times New Roman"/>
          <w:sz w:val="24"/>
          <w:szCs w:val="24"/>
        </w:rPr>
        <w:t>he provisions related to compul</w:t>
      </w:r>
      <w:r w:rsidR="000E0027">
        <w:rPr>
          <w:rFonts w:ascii="Times New Roman" w:hAnsi="Times New Roman" w:cs="Times New Roman"/>
          <w:sz w:val="24"/>
          <w:szCs w:val="24"/>
        </w:rPr>
        <w:t xml:space="preserve">sory licensing should </w:t>
      </w:r>
      <w:r w:rsidR="003E426B">
        <w:rPr>
          <w:rFonts w:ascii="Times New Roman" w:hAnsi="Times New Roman" w:cs="Times New Roman"/>
          <w:sz w:val="24"/>
          <w:szCs w:val="24"/>
        </w:rPr>
        <w:t xml:space="preserve">also take into account </w:t>
      </w:r>
      <w:r w:rsidR="00C9096E">
        <w:rPr>
          <w:rFonts w:ascii="Times New Roman" w:hAnsi="Times New Roman" w:cs="Times New Roman"/>
          <w:sz w:val="24"/>
          <w:szCs w:val="24"/>
        </w:rPr>
        <w:t>the possible existence of trade secrets</w:t>
      </w:r>
      <w:r w:rsidR="006D139E">
        <w:rPr>
          <w:rFonts w:ascii="Times New Roman" w:hAnsi="Times New Roman" w:cs="Times New Roman"/>
          <w:sz w:val="24"/>
          <w:szCs w:val="24"/>
        </w:rPr>
        <w:t xml:space="preserve">, as well as </w:t>
      </w:r>
      <w:r w:rsidR="003E426B">
        <w:rPr>
          <w:rFonts w:ascii="Times New Roman" w:hAnsi="Times New Roman" w:cs="Times New Roman"/>
          <w:sz w:val="24"/>
          <w:szCs w:val="24"/>
        </w:rPr>
        <w:t>the legal framework guaranteeing</w:t>
      </w:r>
      <w:r w:rsidR="00D52A73">
        <w:rPr>
          <w:rFonts w:ascii="Times New Roman" w:hAnsi="Times New Roman" w:cs="Times New Roman"/>
          <w:sz w:val="24"/>
          <w:szCs w:val="24"/>
        </w:rPr>
        <w:t xml:space="preserve"> data protection and privacy.</w:t>
      </w:r>
    </w:p>
    <w:p w14:paraId="2ED4E34B" w14:textId="77777777" w:rsidR="003E426B" w:rsidRDefault="003E426B" w:rsidP="00AD4D43">
      <w:pPr>
        <w:spacing w:after="0" w:line="240" w:lineRule="auto"/>
        <w:jc w:val="both"/>
        <w:rPr>
          <w:rFonts w:ascii="Times New Roman" w:hAnsi="Times New Roman" w:cs="Times New Roman"/>
          <w:sz w:val="24"/>
          <w:szCs w:val="24"/>
        </w:rPr>
      </w:pPr>
    </w:p>
    <w:p w14:paraId="588FBBCA" w14:textId="1D698B3D" w:rsidR="00AB5105" w:rsidRPr="00AD4D43" w:rsidRDefault="00950D32" w:rsidP="00AD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as suggested by other scholars, issues </w:t>
      </w:r>
      <w:r w:rsidR="003E426B">
        <w:rPr>
          <w:rFonts w:ascii="Times New Roman" w:hAnsi="Times New Roman" w:cs="Times New Roman"/>
          <w:sz w:val="24"/>
          <w:szCs w:val="24"/>
        </w:rPr>
        <w:t xml:space="preserve">relating to </w:t>
      </w:r>
      <w:r>
        <w:rPr>
          <w:rFonts w:ascii="Times New Roman" w:hAnsi="Times New Roman" w:cs="Times New Roman"/>
          <w:sz w:val="24"/>
          <w:szCs w:val="24"/>
        </w:rPr>
        <w:t xml:space="preserve">access could be solved by </w:t>
      </w:r>
      <w:r w:rsidR="00443F69">
        <w:rPr>
          <w:rFonts w:ascii="Times New Roman" w:hAnsi="Times New Roman" w:cs="Times New Roman"/>
          <w:sz w:val="24"/>
          <w:szCs w:val="24"/>
        </w:rPr>
        <w:t>bringing</w:t>
      </w:r>
      <w:r>
        <w:rPr>
          <w:rFonts w:ascii="Times New Roman" w:hAnsi="Times New Roman" w:cs="Times New Roman"/>
          <w:sz w:val="24"/>
          <w:szCs w:val="24"/>
        </w:rPr>
        <w:t xml:space="preserve"> </w:t>
      </w:r>
      <w:r w:rsidR="003E426B">
        <w:rPr>
          <w:rFonts w:ascii="Times New Roman" w:hAnsi="Times New Roman" w:cs="Times New Roman"/>
          <w:sz w:val="24"/>
          <w:szCs w:val="24"/>
        </w:rPr>
        <w:t xml:space="preserve">the entirety of a database </w:t>
      </w:r>
      <w:r w:rsidR="00443F69">
        <w:rPr>
          <w:rFonts w:ascii="Times New Roman" w:hAnsi="Times New Roman" w:cs="Times New Roman"/>
          <w:sz w:val="24"/>
          <w:szCs w:val="24"/>
        </w:rPr>
        <w:t>with</w:t>
      </w:r>
      <w:r>
        <w:rPr>
          <w:rFonts w:ascii="Times New Roman" w:hAnsi="Times New Roman" w:cs="Times New Roman"/>
          <w:sz w:val="24"/>
          <w:szCs w:val="24"/>
        </w:rPr>
        <w:t xml:space="preserve">in the scope of </w:t>
      </w:r>
      <w:r w:rsidR="006048D8">
        <w:rPr>
          <w:rFonts w:ascii="Times New Roman" w:hAnsi="Times New Roman" w:cs="Times New Roman"/>
          <w:sz w:val="24"/>
          <w:szCs w:val="24"/>
        </w:rPr>
        <w:t>A</w:t>
      </w:r>
      <w:r>
        <w:rPr>
          <w:rFonts w:ascii="Times New Roman" w:hAnsi="Times New Roman" w:cs="Times New Roman"/>
          <w:sz w:val="24"/>
          <w:szCs w:val="24"/>
        </w:rPr>
        <w:t>rticle 8</w:t>
      </w:r>
      <w:r w:rsidR="003E426B">
        <w:rPr>
          <w:rFonts w:ascii="Times New Roman" w:hAnsi="Times New Roman" w:cs="Times New Roman"/>
          <w:sz w:val="24"/>
          <w:szCs w:val="24"/>
        </w:rPr>
        <w:t>,</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not only</w:t>
      </w:r>
      <w:r w:rsidR="00732AB0">
        <w:rPr>
          <w:rFonts w:ascii="Times New Roman" w:hAnsi="Times New Roman" w:cs="Times New Roman"/>
          <w:sz w:val="24"/>
          <w:szCs w:val="24"/>
        </w:rPr>
        <w:t xml:space="preserve"> the</w:t>
      </w:r>
      <w:r>
        <w:rPr>
          <w:rFonts w:ascii="Times New Roman" w:hAnsi="Times New Roman" w:cs="Times New Roman"/>
          <w:sz w:val="24"/>
          <w:szCs w:val="24"/>
        </w:rPr>
        <w:t xml:space="preserve"> insubstantial parts of it</w:t>
      </w:r>
      <w:r w:rsidR="00B155F3">
        <w:rPr>
          <w:rFonts w:ascii="Times New Roman" w:hAnsi="Times New Roman" w:cs="Times New Roman"/>
          <w:sz w:val="24"/>
          <w:szCs w:val="24"/>
        </w:rPr>
        <w:t>. Finally, the EU legislator should carefully consider the call</w:t>
      </w:r>
      <w:r w:rsidR="003D219C">
        <w:rPr>
          <w:rStyle w:val="FootnoteReference"/>
          <w:rFonts w:ascii="Times New Roman" w:hAnsi="Times New Roman" w:cs="Times New Roman"/>
          <w:sz w:val="24"/>
          <w:szCs w:val="24"/>
        </w:rPr>
        <w:footnoteReference w:id="91"/>
      </w:r>
      <w:r w:rsidR="00B155F3">
        <w:rPr>
          <w:rFonts w:ascii="Times New Roman" w:hAnsi="Times New Roman" w:cs="Times New Roman"/>
          <w:sz w:val="24"/>
          <w:szCs w:val="24"/>
        </w:rPr>
        <w:t xml:space="preserve"> </w:t>
      </w:r>
      <w:r w:rsidR="003E426B">
        <w:rPr>
          <w:rFonts w:ascii="Times New Roman" w:hAnsi="Times New Roman" w:cs="Times New Roman"/>
          <w:sz w:val="24"/>
          <w:szCs w:val="24"/>
        </w:rPr>
        <w:t xml:space="preserve">for </w:t>
      </w:r>
      <w:r w:rsidR="00B155F3">
        <w:rPr>
          <w:rFonts w:ascii="Times New Roman" w:hAnsi="Times New Roman" w:cs="Times New Roman"/>
          <w:sz w:val="24"/>
          <w:szCs w:val="24"/>
        </w:rPr>
        <w:t xml:space="preserve">alignment of the exceptions provided under the Database Directive and </w:t>
      </w:r>
      <w:r w:rsidR="00732AB0">
        <w:rPr>
          <w:rFonts w:ascii="Times New Roman" w:hAnsi="Times New Roman" w:cs="Times New Roman"/>
          <w:sz w:val="24"/>
          <w:szCs w:val="24"/>
        </w:rPr>
        <w:t>th</w:t>
      </w:r>
      <w:r w:rsidR="003E426B">
        <w:rPr>
          <w:rFonts w:ascii="Times New Roman" w:hAnsi="Times New Roman" w:cs="Times New Roman"/>
          <w:sz w:val="24"/>
          <w:szCs w:val="24"/>
        </w:rPr>
        <w:t>ose</w:t>
      </w:r>
      <w:r w:rsidR="00732AB0">
        <w:rPr>
          <w:rFonts w:ascii="Times New Roman" w:hAnsi="Times New Roman" w:cs="Times New Roman"/>
          <w:sz w:val="24"/>
          <w:szCs w:val="24"/>
        </w:rPr>
        <w:t xml:space="preserve"> granted under the </w:t>
      </w:r>
      <w:proofErr w:type="spellStart"/>
      <w:r w:rsidR="00732AB0">
        <w:rPr>
          <w:rFonts w:ascii="Times New Roman" w:hAnsi="Times New Roman" w:cs="Times New Roman"/>
          <w:sz w:val="24"/>
          <w:szCs w:val="24"/>
        </w:rPr>
        <w:t>InfoSoc</w:t>
      </w:r>
      <w:proofErr w:type="spellEnd"/>
      <w:r w:rsidR="00732AB0">
        <w:rPr>
          <w:rFonts w:ascii="Times New Roman" w:hAnsi="Times New Roman" w:cs="Times New Roman"/>
          <w:sz w:val="24"/>
          <w:szCs w:val="24"/>
        </w:rPr>
        <w:t xml:space="preserve"> Directive</w:t>
      </w:r>
      <w:r w:rsidR="003E426B">
        <w:rPr>
          <w:rFonts w:ascii="Times New Roman" w:hAnsi="Times New Roman" w:cs="Times New Roman"/>
          <w:sz w:val="24"/>
          <w:szCs w:val="24"/>
        </w:rPr>
        <w:t>.</w:t>
      </w:r>
      <w:r w:rsidR="00721EAE">
        <w:rPr>
          <w:rStyle w:val="FootnoteReference"/>
          <w:rFonts w:ascii="Times New Roman" w:hAnsi="Times New Roman" w:cs="Times New Roman"/>
          <w:sz w:val="24"/>
          <w:szCs w:val="24"/>
        </w:rPr>
        <w:footnoteReference w:id="92"/>
      </w:r>
      <w:r w:rsidR="006048D8">
        <w:rPr>
          <w:rFonts w:ascii="Times New Roman" w:hAnsi="Times New Roman" w:cs="Times New Roman"/>
          <w:sz w:val="24"/>
          <w:szCs w:val="24"/>
        </w:rPr>
        <w:t xml:space="preserve"> </w:t>
      </w:r>
      <w:r w:rsidR="003E426B">
        <w:rPr>
          <w:rFonts w:ascii="Times New Roman" w:hAnsi="Times New Roman" w:cs="Times New Roman"/>
          <w:sz w:val="24"/>
          <w:szCs w:val="24"/>
        </w:rPr>
        <w:t xml:space="preserve">The fact is that </w:t>
      </w:r>
      <w:r w:rsidR="006048D8">
        <w:rPr>
          <w:rFonts w:ascii="Times New Roman" w:hAnsi="Times New Roman" w:cs="Times New Roman"/>
          <w:sz w:val="24"/>
          <w:szCs w:val="24"/>
        </w:rPr>
        <w:t xml:space="preserve">the exceptions </w:t>
      </w:r>
      <w:r w:rsidR="003E426B">
        <w:rPr>
          <w:rFonts w:ascii="Times New Roman" w:hAnsi="Times New Roman" w:cs="Times New Roman"/>
          <w:sz w:val="24"/>
          <w:szCs w:val="24"/>
        </w:rPr>
        <w:t xml:space="preserve">currently set forth in </w:t>
      </w:r>
      <w:r w:rsidR="006048D8">
        <w:rPr>
          <w:rFonts w:ascii="Times New Roman" w:hAnsi="Times New Roman" w:cs="Times New Roman"/>
          <w:sz w:val="24"/>
          <w:szCs w:val="24"/>
        </w:rPr>
        <w:t xml:space="preserve">Article 9 of the Database Directive – </w:t>
      </w:r>
      <w:r w:rsidR="00492682">
        <w:rPr>
          <w:rFonts w:ascii="Times New Roman" w:hAnsi="Times New Roman" w:cs="Times New Roman"/>
          <w:sz w:val="24"/>
          <w:szCs w:val="24"/>
        </w:rPr>
        <w:t xml:space="preserve">even </w:t>
      </w:r>
      <w:r w:rsidR="00F2295A">
        <w:rPr>
          <w:rFonts w:ascii="Times New Roman" w:hAnsi="Times New Roman" w:cs="Times New Roman"/>
          <w:sz w:val="24"/>
          <w:szCs w:val="24"/>
        </w:rPr>
        <w:t xml:space="preserve">if </w:t>
      </w:r>
      <w:r w:rsidR="003E426B">
        <w:rPr>
          <w:rFonts w:ascii="Times New Roman" w:hAnsi="Times New Roman" w:cs="Times New Roman"/>
          <w:sz w:val="24"/>
          <w:szCs w:val="24"/>
        </w:rPr>
        <w:t xml:space="preserve">we add in </w:t>
      </w:r>
      <w:r w:rsidR="006048D8">
        <w:rPr>
          <w:rFonts w:ascii="Times New Roman" w:hAnsi="Times New Roman" w:cs="Times New Roman"/>
          <w:sz w:val="24"/>
          <w:szCs w:val="24"/>
        </w:rPr>
        <w:t>those introduced by the DSM Directive – do not adequate</w:t>
      </w:r>
      <w:r w:rsidR="003E426B">
        <w:rPr>
          <w:rFonts w:ascii="Times New Roman" w:hAnsi="Times New Roman" w:cs="Times New Roman"/>
          <w:sz w:val="24"/>
          <w:szCs w:val="24"/>
        </w:rPr>
        <w:t xml:space="preserve">ly </w:t>
      </w:r>
      <w:proofErr w:type="gramStart"/>
      <w:r w:rsidR="003E426B">
        <w:rPr>
          <w:rFonts w:ascii="Times New Roman" w:hAnsi="Times New Roman" w:cs="Times New Roman"/>
          <w:sz w:val="24"/>
          <w:szCs w:val="24"/>
        </w:rPr>
        <w:t>take into account</w:t>
      </w:r>
      <w:proofErr w:type="gramEnd"/>
      <w:r w:rsidR="006048D8">
        <w:rPr>
          <w:rFonts w:ascii="Times New Roman" w:hAnsi="Times New Roman" w:cs="Times New Roman"/>
          <w:sz w:val="24"/>
          <w:szCs w:val="24"/>
        </w:rPr>
        <w:t xml:space="preserve"> the</w:t>
      </w:r>
      <w:r w:rsidR="00C9096E">
        <w:rPr>
          <w:rFonts w:ascii="Times New Roman" w:hAnsi="Times New Roman" w:cs="Times New Roman"/>
          <w:sz w:val="24"/>
          <w:szCs w:val="24"/>
        </w:rPr>
        <w:t xml:space="preserve"> central role played by da</w:t>
      </w:r>
      <w:r w:rsidR="00BD36CC">
        <w:rPr>
          <w:rFonts w:ascii="Times New Roman" w:hAnsi="Times New Roman" w:cs="Times New Roman"/>
          <w:sz w:val="24"/>
          <w:szCs w:val="24"/>
        </w:rPr>
        <w:t>ta</w:t>
      </w:r>
      <w:r w:rsidR="00C9096E">
        <w:rPr>
          <w:rFonts w:ascii="Times New Roman" w:hAnsi="Times New Roman" w:cs="Times New Roman"/>
          <w:sz w:val="24"/>
          <w:szCs w:val="24"/>
        </w:rPr>
        <w:t>.</w:t>
      </w:r>
      <w:r w:rsidR="00BD36CC">
        <w:rPr>
          <w:rFonts w:ascii="Times New Roman" w:hAnsi="Times New Roman" w:cs="Times New Roman"/>
          <w:sz w:val="24"/>
          <w:szCs w:val="24"/>
        </w:rPr>
        <w:t xml:space="preserve"> </w:t>
      </w:r>
      <w:r w:rsidR="003E426B">
        <w:rPr>
          <w:rFonts w:ascii="Times New Roman" w:hAnsi="Times New Roman" w:cs="Times New Roman"/>
          <w:sz w:val="24"/>
          <w:szCs w:val="24"/>
        </w:rPr>
        <w:t>First, t</w:t>
      </w:r>
      <w:r w:rsidR="00BD36CC">
        <w:rPr>
          <w:rFonts w:ascii="Times New Roman" w:hAnsi="Times New Roman" w:cs="Times New Roman"/>
          <w:sz w:val="24"/>
          <w:szCs w:val="24"/>
        </w:rPr>
        <w:t xml:space="preserve">herefore, it would be necessary to abolish the distinction – </w:t>
      </w:r>
      <w:r w:rsidR="003E426B">
        <w:rPr>
          <w:rFonts w:ascii="Times New Roman" w:hAnsi="Times New Roman" w:cs="Times New Roman"/>
          <w:sz w:val="24"/>
          <w:szCs w:val="24"/>
        </w:rPr>
        <w:t xml:space="preserve">made in </w:t>
      </w:r>
      <w:r w:rsidR="00BD36CC">
        <w:rPr>
          <w:rFonts w:ascii="Times New Roman" w:hAnsi="Times New Roman" w:cs="Times New Roman"/>
          <w:sz w:val="24"/>
          <w:szCs w:val="24"/>
        </w:rPr>
        <w:t xml:space="preserve">Article 9(a) of the Directive – between electronic and non-electronic databases </w:t>
      </w:r>
      <w:r w:rsidR="00F2295A">
        <w:rPr>
          <w:rFonts w:ascii="Times New Roman" w:hAnsi="Times New Roman" w:cs="Times New Roman"/>
          <w:sz w:val="24"/>
          <w:szCs w:val="24"/>
        </w:rPr>
        <w:t xml:space="preserve">where </w:t>
      </w:r>
      <w:r w:rsidR="00BD36CC">
        <w:rPr>
          <w:rFonts w:ascii="Times New Roman" w:hAnsi="Times New Roman" w:cs="Times New Roman"/>
          <w:sz w:val="24"/>
          <w:szCs w:val="24"/>
        </w:rPr>
        <w:t>extraction for private purposes</w:t>
      </w:r>
      <w:r w:rsidR="00F2295A">
        <w:rPr>
          <w:rFonts w:ascii="Times New Roman" w:hAnsi="Times New Roman" w:cs="Times New Roman"/>
          <w:sz w:val="24"/>
          <w:szCs w:val="24"/>
        </w:rPr>
        <w:t xml:space="preserve"> is concerned</w:t>
      </w:r>
      <w:r w:rsidR="00BD36CC">
        <w:rPr>
          <w:rFonts w:ascii="Times New Roman" w:hAnsi="Times New Roman" w:cs="Times New Roman"/>
          <w:sz w:val="24"/>
          <w:szCs w:val="24"/>
        </w:rPr>
        <w:t xml:space="preserve">. </w:t>
      </w:r>
      <w:r w:rsidR="00710A2C">
        <w:rPr>
          <w:rFonts w:ascii="Times New Roman" w:hAnsi="Times New Roman" w:cs="Times New Roman"/>
          <w:sz w:val="24"/>
          <w:szCs w:val="24"/>
        </w:rPr>
        <w:t xml:space="preserve">Moreover, </w:t>
      </w:r>
      <w:r w:rsidR="00492682">
        <w:rPr>
          <w:rFonts w:ascii="Times New Roman" w:hAnsi="Times New Roman" w:cs="Times New Roman"/>
          <w:sz w:val="24"/>
          <w:szCs w:val="24"/>
        </w:rPr>
        <w:t xml:space="preserve">all the exceptions provided </w:t>
      </w:r>
      <w:r w:rsidR="00F2295A">
        <w:rPr>
          <w:rFonts w:ascii="Times New Roman" w:hAnsi="Times New Roman" w:cs="Times New Roman"/>
          <w:sz w:val="24"/>
          <w:szCs w:val="24"/>
        </w:rPr>
        <w:t>in</w:t>
      </w:r>
      <w:r w:rsidR="00492682">
        <w:rPr>
          <w:rFonts w:ascii="Times New Roman" w:hAnsi="Times New Roman" w:cs="Times New Roman"/>
          <w:sz w:val="24"/>
          <w:szCs w:val="24"/>
        </w:rPr>
        <w:t xml:space="preserve"> Article 9 of the Directive apply only to lawful user</w:t>
      </w:r>
      <w:r w:rsidR="00F2295A">
        <w:rPr>
          <w:rFonts w:ascii="Times New Roman" w:hAnsi="Times New Roman" w:cs="Times New Roman"/>
          <w:sz w:val="24"/>
          <w:szCs w:val="24"/>
        </w:rPr>
        <w:t>s</w:t>
      </w:r>
      <w:r w:rsidR="00492682">
        <w:rPr>
          <w:rFonts w:ascii="Times New Roman" w:hAnsi="Times New Roman" w:cs="Times New Roman"/>
          <w:sz w:val="24"/>
          <w:szCs w:val="24"/>
        </w:rPr>
        <w:t>. Th</w:t>
      </w:r>
      <w:r w:rsidR="00F2295A">
        <w:rPr>
          <w:rFonts w:ascii="Times New Roman" w:hAnsi="Times New Roman" w:cs="Times New Roman"/>
          <w:sz w:val="24"/>
          <w:szCs w:val="24"/>
        </w:rPr>
        <w:t>erefore</w:t>
      </w:r>
      <w:r w:rsidR="00492682">
        <w:rPr>
          <w:rFonts w:ascii="Times New Roman" w:hAnsi="Times New Roman" w:cs="Times New Roman"/>
          <w:sz w:val="24"/>
          <w:szCs w:val="24"/>
        </w:rPr>
        <w:t>, as correctly pointed out</w:t>
      </w:r>
      <w:r w:rsidR="00F2295A">
        <w:rPr>
          <w:rFonts w:ascii="Times New Roman" w:hAnsi="Times New Roman" w:cs="Times New Roman"/>
          <w:sz w:val="24"/>
          <w:szCs w:val="24"/>
        </w:rPr>
        <w:t>,</w:t>
      </w:r>
      <w:r w:rsidR="00492682">
        <w:rPr>
          <w:rStyle w:val="FootnoteReference"/>
          <w:rFonts w:ascii="Times New Roman" w:hAnsi="Times New Roman" w:cs="Times New Roman"/>
          <w:sz w:val="24"/>
          <w:szCs w:val="24"/>
        </w:rPr>
        <w:footnoteReference w:id="93"/>
      </w:r>
      <w:r w:rsidR="00492682">
        <w:rPr>
          <w:rFonts w:ascii="Times New Roman" w:hAnsi="Times New Roman" w:cs="Times New Roman"/>
          <w:sz w:val="24"/>
          <w:szCs w:val="24"/>
        </w:rPr>
        <w:t xml:space="preserve"> </w:t>
      </w:r>
      <w:r w:rsidR="00F2295A">
        <w:rPr>
          <w:rFonts w:ascii="Times New Roman" w:hAnsi="Times New Roman" w:cs="Times New Roman"/>
          <w:sz w:val="24"/>
          <w:szCs w:val="24"/>
        </w:rPr>
        <w:t xml:space="preserve">this </w:t>
      </w:r>
      <w:r w:rsidR="00492682">
        <w:rPr>
          <w:rFonts w:ascii="Times New Roman" w:hAnsi="Times New Roman" w:cs="Times New Roman"/>
          <w:sz w:val="24"/>
          <w:szCs w:val="24"/>
        </w:rPr>
        <w:t>limitation should be abandoned</w:t>
      </w:r>
      <w:r w:rsidR="00F2295A">
        <w:rPr>
          <w:rFonts w:ascii="Times New Roman" w:hAnsi="Times New Roman" w:cs="Times New Roman"/>
          <w:sz w:val="24"/>
          <w:szCs w:val="24"/>
        </w:rPr>
        <w:t>,</w:t>
      </w:r>
      <w:r w:rsidR="00492682">
        <w:rPr>
          <w:rFonts w:ascii="Times New Roman" w:hAnsi="Times New Roman" w:cs="Times New Roman"/>
          <w:sz w:val="24"/>
          <w:szCs w:val="24"/>
        </w:rPr>
        <w:t xml:space="preserve"> because</w:t>
      </w:r>
      <w:r w:rsidR="00FA08DA">
        <w:rPr>
          <w:rFonts w:ascii="Times New Roman" w:hAnsi="Times New Roman" w:cs="Times New Roman"/>
          <w:sz w:val="24"/>
          <w:szCs w:val="24"/>
        </w:rPr>
        <w:t xml:space="preserve"> it </w:t>
      </w:r>
      <w:r w:rsidR="00F2295A">
        <w:rPr>
          <w:rFonts w:ascii="Times New Roman" w:hAnsi="Times New Roman" w:cs="Times New Roman"/>
          <w:sz w:val="24"/>
          <w:szCs w:val="24"/>
        </w:rPr>
        <w:t xml:space="preserve">appears </w:t>
      </w:r>
      <w:r w:rsidR="00FA08DA">
        <w:rPr>
          <w:rFonts w:ascii="Times New Roman" w:hAnsi="Times New Roman" w:cs="Times New Roman"/>
          <w:sz w:val="24"/>
          <w:szCs w:val="24"/>
        </w:rPr>
        <w:t>to be</w:t>
      </w:r>
      <w:r w:rsidR="00492682">
        <w:rPr>
          <w:rFonts w:ascii="Times New Roman" w:hAnsi="Times New Roman" w:cs="Times New Roman"/>
          <w:sz w:val="24"/>
          <w:szCs w:val="24"/>
        </w:rPr>
        <w:t xml:space="preserve"> inconsistent with the copyright framework.</w:t>
      </w:r>
      <w:r w:rsidR="00C9096E">
        <w:rPr>
          <w:rFonts w:ascii="Times New Roman" w:hAnsi="Times New Roman" w:cs="Times New Roman"/>
          <w:sz w:val="24"/>
          <w:szCs w:val="24"/>
        </w:rPr>
        <w:t xml:space="preserve"> </w:t>
      </w:r>
      <w:r w:rsidR="00492682">
        <w:rPr>
          <w:rFonts w:ascii="Times New Roman" w:hAnsi="Times New Roman" w:cs="Times New Roman"/>
          <w:sz w:val="24"/>
          <w:szCs w:val="24"/>
        </w:rPr>
        <w:t xml:space="preserve">Another reason </w:t>
      </w:r>
      <w:r w:rsidR="00F2295A">
        <w:rPr>
          <w:rFonts w:ascii="Times New Roman" w:hAnsi="Times New Roman" w:cs="Times New Roman"/>
          <w:sz w:val="24"/>
          <w:szCs w:val="24"/>
        </w:rPr>
        <w:t xml:space="preserve">for such an </w:t>
      </w:r>
      <w:r w:rsidR="00492682">
        <w:rPr>
          <w:rFonts w:ascii="Times New Roman" w:hAnsi="Times New Roman" w:cs="Times New Roman"/>
          <w:sz w:val="24"/>
          <w:szCs w:val="24"/>
        </w:rPr>
        <w:t>extension is that databases might be</w:t>
      </w:r>
      <w:r w:rsidR="00443F69">
        <w:rPr>
          <w:rFonts w:ascii="Times New Roman" w:hAnsi="Times New Roman" w:cs="Times New Roman"/>
          <w:sz w:val="24"/>
          <w:szCs w:val="24"/>
        </w:rPr>
        <w:t xml:space="preserve"> instrumentalized as a way of p</w:t>
      </w:r>
      <w:r w:rsidR="00492682">
        <w:rPr>
          <w:rFonts w:ascii="Times New Roman" w:hAnsi="Times New Roman" w:cs="Times New Roman"/>
          <w:sz w:val="24"/>
          <w:szCs w:val="24"/>
        </w:rPr>
        <w:t>rotect</w:t>
      </w:r>
      <w:r w:rsidR="00F2295A">
        <w:rPr>
          <w:rFonts w:ascii="Times New Roman" w:hAnsi="Times New Roman" w:cs="Times New Roman"/>
          <w:sz w:val="24"/>
          <w:szCs w:val="24"/>
        </w:rPr>
        <w:t>ing</w:t>
      </w:r>
      <w:r w:rsidR="00492682">
        <w:rPr>
          <w:rFonts w:ascii="Times New Roman" w:hAnsi="Times New Roman" w:cs="Times New Roman"/>
          <w:sz w:val="24"/>
          <w:szCs w:val="24"/>
        </w:rPr>
        <w:t xml:space="preserve"> </w:t>
      </w:r>
      <w:r w:rsidR="00443F69">
        <w:rPr>
          <w:rFonts w:ascii="Times New Roman" w:hAnsi="Times New Roman" w:cs="Times New Roman"/>
          <w:sz w:val="24"/>
          <w:szCs w:val="24"/>
        </w:rPr>
        <w:t xml:space="preserve">the </w:t>
      </w:r>
      <w:r w:rsidR="00492682">
        <w:rPr>
          <w:rFonts w:ascii="Times New Roman" w:hAnsi="Times New Roman" w:cs="Times New Roman"/>
          <w:sz w:val="24"/>
          <w:szCs w:val="24"/>
        </w:rPr>
        <w:t>AI-generated works collected within them</w:t>
      </w:r>
      <w:r w:rsidR="00F2295A">
        <w:rPr>
          <w:rFonts w:ascii="Times New Roman" w:hAnsi="Times New Roman" w:cs="Times New Roman"/>
          <w:sz w:val="24"/>
          <w:szCs w:val="24"/>
        </w:rPr>
        <w:t>.</w:t>
      </w:r>
      <w:r w:rsidR="00492682">
        <w:rPr>
          <w:rStyle w:val="FootnoteReference"/>
          <w:rFonts w:ascii="Times New Roman" w:hAnsi="Times New Roman" w:cs="Times New Roman"/>
          <w:sz w:val="24"/>
          <w:szCs w:val="24"/>
        </w:rPr>
        <w:footnoteReference w:id="94"/>
      </w:r>
      <w:r w:rsidR="006048D8">
        <w:rPr>
          <w:rFonts w:ascii="Times New Roman" w:hAnsi="Times New Roman" w:cs="Times New Roman"/>
          <w:sz w:val="24"/>
          <w:szCs w:val="24"/>
        </w:rPr>
        <w:t xml:space="preserve"> </w:t>
      </w:r>
      <w:r w:rsidR="00F2295A">
        <w:rPr>
          <w:rFonts w:ascii="Times New Roman" w:hAnsi="Times New Roman" w:cs="Times New Roman"/>
          <w:sz w:val="24"/>
          <w:szCs w:val="24"/>
        </w:rPr>
        <w:t>This being the case</w:t>
      </w:r>
      <w:r w:rsidR="00492682">
        <w:rPr>
          <w:rFonts w:ascii="Times New Roman" w:hAnsi="Times New Roman" w:cs="Times New Roman"/>
          <w:sz w:val="24"/>
          <w:szCs w:val="24"/>
        </w:rPr>
        <w:t xml:space="preserve">, allowing users to rely on the huge set of exceptions provided </w:t>
      </w:r>
      <w:r w:rsidR="00FA08DA">
        <w:rPr>
          <w:rFonts w:ascii="Times New Roman" w:hAnsi="Times New Roman" w:cs="Times New Roman"/>
          <w:sz w:val="24"/>
          <w:szCs w:val="24"/>
        </w:rPr>
        <w:t xml:space="preserve">under Article 3 of the </w:t>
      </w:r>
      <w:proofErr w:type="spellStart"/>
      <w:r w:rsidR="00FA08DA">
        <w:rPr>
          <w:rFonts w:ascii="Times New Roman" w:hAnsi="Times New Roman" w:cs="Times New Roman"/>
          <w:sz w:val="24"/>
          <w:szCs w:val="24"/>
        </w:rPr>
        <w:t>InfoSoc</w:t>
      </w:r>
      <w:proofErr w:type="spellEnd"/>
      <w:r w:rsidR="00FA08DA">
        <w:rPr>
          <w:rFonts w:ascii="Times New Roman" w:hAnsi="Times New Roman" w:cs="Times New Roman"/>
          <w:sz w:val="24"/>
          <w:szCs w:val="24"/>
        </w:rPr>
        <w:t xml:space="preserve"> D</w:t>
      </w:r>
      <w:r w:rsidR="00492682">
        <w:rPr>
          <w:rFonts w:ascii="Times New Roman" w:hAnsi="Times New Roman" w:cs="Times New Roman"/>
          <w:sz w:val="24"/>
          <w:szCs w:val="24"/>
        </w:rPr>
        <w:t xml:space="preserve">irective </w:t>
      </w:r>
      <w:r w:rsidR="00F2295A">
        <w:rPr>
          <w:rFonts w:ascii="Times New Roman" w:hAnsi="Times New Roman" w:cs="Times New Roman"/>
          <w:sz w:val="24"/>
          <w:szCs w:val="24"/>
        </w:rPr>
        <w:t>w</w:t>
      </w:r>
      <w:r w:rsidR="001E322A">
        <w:rPr>
          <w:rFonts w:ascii="Times New Roman" w:hAnsi="Times New Roman" w:cs="Times New Roman"/>
          <w:sz w:val="24"/>
          <w:szCs w:val="24"/>
        </w:rPr>
        <w:t xml:space="preserve">ould </w:t>
      </w:r>
      <w:proofErr w:type="gramStart"/>
      <w:r w:rsidR="00F2295A">
        <w:rPr>
          <w:rFonts w:ascii="Times New Roman" w:hAnsi="Times New Roman" w:cs="Times New Roman"/>
          <w:sz w:val="24"/>
          <w:szCs w:val="24"/>
        </w:rPr>
        <w:t>open up</w:t>
      </w:r>
      <w:proofErr w:type="gramEnd"/>
      <w:r w:rsidR="00F2295A">
        <w:rPr>
          <w:rFonts w:ascii="Times New Roman" w:hAnsi="Times New Roman" w:cs="Times New Roman"/>
          <w:sz w:val="24"/>
          <w:szCs w:val="24"/>
        </w:rPr>
        <w:t xml:space="preserve"> far wider </w:t>
      </w:r>
      <w:r w:rsidR="001E322A">
        <w:rPr>
          <w:rFonts w:ascii="Times New Roman" w:hAnsi="Times New Roman" w:cs="Times New Roman"/>
          <w:sz w:val="24"/>
          <w:szCs w:val="24"/>
        </w:rPr>
        <w:t>access to these works.</w:t>
      </w:r>
      <w:r w:rsidR="003B7037">
        <w:rPr>
          <w:rFonts w:ascii="Times New Roman" w:hAnsi="Times New Roman" w:cs="Times New Roman"/>
          <w:sz w:val="24"/>
          <w:szCs w:val="24"/>
        </w:rPr>
        <w:t xml:space="preserve">  </w:t>
      </w:r>
    </w:p>
    <w:p w14:paraId="6672661F" w14:textId="2F6DF6CF" w:rsidR="00860F04" w:rsidRPr="000E2F88" w:rsidRDefault="0033593C" w:rsidP="00AB5105">
      <w:pPr>
        <w:spacing w:after="0" w:line="240" w:lineRule="auto"/>
        <w:ind w:left="66"/>
        <w:jc w:val="both"/>
        <w:rPr>
          <w:rFonts w:ascii="Times New Roman" w:hAnsi="Times New Roman" w:cs="Times New Roman"/>
          <w:b/>
          <w:sz w:val="24"/>
          <w:szCs w:val="24"/>
        </w:rPr>
      </w:pPr>
      <w:r w:rsidRPr="000E2F88">
        <w:rPr>
          <w:rFonts w:ascii="Times New Roman" w:hAnsi="Times New Roman" w:cs="Times New Roman"/>
          <w:b/>
          <w:sz w:val="24"/>
          <w:szCs w:val="24"/>
        </w:rPr>
        <w:t xml:space="preserve"> </w:t>
      </w:r>
    </w:p>
    <w:p w14:paraId="4DC48F0D" w14:textId="0784160A" w:rsidR="00860F04" w:rsidRPr="00571899" w:rsidRDefault="0033593C" w:rsidP="00571899">
      <w:pPr>
        <w:pStyle w:val="Titoloperindice"/>
        <w:numPr>
          <w:ilvl w:val="0"/>
          <w:numId w:val="2"/>
        </w:numPr>
      </w:pPr>
      <w:r w:rsidRPr="00571899">
        <w:t>Conclusions</w:t>
      </w:r>
    </w:p>
    <w:p w14:paraId="1C3F4DE1" w14:textId="77777777" w:rsidR="00605F0F" w:rsidRDefault="00605F0F" w:rsidP="00605F0F">
      <w:pPr>
        <w:spacing w:after="0" w:line="240" w:lineRule="auto"/>
        <w:jc w:val="both"/>
        <w:rPr>
          <w:rFonts w:ascii="Times New Roman" w:hAnsi="Times New Roman" w:cs="Times New Roman"/>
          <w:b/>
          <w:sz w:val="24"/>
          <w:szCs w:val="24"/>
        </w:rPr>
      </w:pPr>
    </w:p>
    <w:p w14:paraId="46D8C65A" w14:textId="750F7175" w:rsidR="00605F0F" w:rsidRDefault="00605F0F"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the considerations expressed in the previous paragraphs, we can conclude that AI-generated databases could benefit from the </w:t>
      </w:r>
      <w:r w:rsidRPr="00F759E2">
        <w:rPr>
          <w:rFonts w:ascii="Times New Roman" w:hAnsi="Times New Roman" w:cs="Times New Roman"/>
          <w:sz w:val="24"/>
          <w:szCs w:val="24"/>
        </w:rPr>
        <w:t>sui generis</w:t>
      </w:r>
      <w:r>
        <w:rPr>
          <w:rFonts w:ascii="Times New Roman" w:hAnsi="Times New Roman" w:cs="Times New Roman"/>
          <w:i/>
          <w:sz w:val="24"/>
          <w:szCs w:val="24"/>
        </w:rPr>
        <w:t xml:space="preserve"> </w:t>
      </w:r>
      <w:r>
        <w:rPr>
          <w:rFonts w:ascii="Times New Roman" w:hAnsi="Times New Roman" w:cs="Times New Roman"/>
          <w:sz w:val="24"/>
          <w:szCs w:val="24"/>
        </w:rPr>
        <w:t xml:space="preserve">protection granted under </w:t>
      </w:r>
      <w:r w:rsidR="00483751">
        <w:rPr>
          <w:rFonts w:ascii="Times New Roman" w:hAnsi="Times New Roman" w:cs="Times New Roman"/>
          <w:sz w:val="24"/>
          <w:szCs w:val="24"/>
        </w:rPr>
        <w:t>A</w:t>
      </w:r>
      <w:r>
        <w:rPr>
          <w:rFonts w:ascii="Times New Roman" w:hAnsi="Times New Roman" w:cs="Times New Roman"/>
          <w:sz w:val="24"/>
          <w:szCs w:val="24"/>
        </w:rPr>
        <w:t>rticle 7 of the Database Directive.</w:t>
      </w:r>
    </w:p>
    <w:p w14:paraId="6E8BF528" w14:textId="77777777" w:rsidR="00483751" w:rsidRDefault="00483751" w:rsidP="00605F0F">
      <w:pPr>
        <w:spacing w:after="0" w:line="240" w:lineRule="auto"/>
        <w:jc w:val="both"/>
        <w:rPr>
          <w:rFonts w:ascii="Times New Roman" w:hAnsi="Times New Roman" w:cs="Times New Roman"/>
          <w:sz w:val="24"/>
          <w:szCs w:val="24"/>
        </w:rPr>
      </w:pPr>
    </w:p>
    <w:p w14:paraId="360F0F54" w14:textId="43E586F1" w:rsidR="00483751" w:rsidRDefault="00483751"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05F0F">
        <w:rPr>
          <w:rFonts w:ascii="Times New Roman" w:hAnsi="Times New Roman" w:cs="Times New Roman"/>
          <w:sz w:val="24"/>
          <w:szCs w:val="24"/>
        </w:rPr>
        <w:t xml:space="preserve">espite the creation/obtaining dichotomy and the </w:t>
      </w:r>
      <w:r>
        <w:rPr>
          <w:rFonts w:ascii="Times New Roman" w:hAnsi="Times New Roman" w:cs="Times New Roman"/>
          <w:sz w:val="24"/>
          <w:szCs w:val="24"/>
        </w:rPr>
        <w:t xml:space="preserve">issue of </w:t>
      </w:r>
      <w:r w:rsidR="00605F0F">
        <w:rPr>
          <w:rFonts w:ascii="Times New Roman" w:hAnsi="Times New Roman" w:cs="Times New Roman"/>
          <w:sz w:val="24"/>
          <w:szCs w:val="24"/>
        </w:rPr>
        <w:t xml:space="preserve">uncertain status, we can see how the conclusions reached by the European Commission in </w:t>
      </w:r>
      <w:r>
        <w:rPr>
          <w:rFonts w:ascii="Times New Roman" w:hAnsi="Times New Roman" w:cs="Times New Roman"/>
          <w:sz w:val="24"/>
          <w:szCs w:val="24"/>
        </w:rPr>
        <w:t>its</w:t>
      </w:r>
      <w:r w:rsidR="00605F0F">
        <w:rPr>
          <w:rFonts w:ascii="Times New Roman" w:hAnsi="Times New Roman" w:cs="Times New Roman"/>
          <w:sz w:val="24"/>
          <w:szCs w:val="24"/>
        </w:rPr>
        <w:t xml:space="preserve"> 2018 E</w:t>
      </w:r>
      <w:r w:rsidR="00D13E9A">
        <w:rPr>
          <w:rFonts w:ascii="Times New Roman" w:hAnsi="Times New Roman" w:cs="Times New Roman"/>
          <w:sz w:val="24"/>
          <w:szCs w:val="24"/>
        </w:rPr>
        <w:t xml:space="preserve">valuation </w:t>
      </w:r>
      <w:r>
        <w:rPr>
          <w:rFonts w:ascii="Times New Roman" w:hAnsi="Times New Roman" w:cs="Times New Roman"/>
          <w:sz w:val="24"/>
          <w:szCs w:val="24"/>
        </w:rPr>
        <w:t xml:space="preserve">are </w:t>
      </w:r>
      <w:r w:rsidR="00605F0F">
        <w:rPr>
          <w:rFonts w:ascii="Times New Roman" w:hAnsi="Times New Roman" w:cs="Times New Roman"/>
          <w:sz w:val="24"/>
          <w:szCs w:val="24"/>
        </w:rPr>
        <w:t xml:space="preserve">based on wrong </w:t>
      </w:r>
      <w:r>
        <w:rPr>
          <w:rFonts w:ascii="Times New Roman" w:hAnsi="Times New Roman" w:cs="Times New Roman"/>
          <w:sz w:val="24"/>
          <w:szCs w:val="24"/>
        </w:rPr>
        <w:t>assumptions</w:t>
      </w:r>
      <w:r w:rsidR="00605F0F">
        <w:rPr>
          <w:rFonts w:ascii="Times New Roman" w:hAnsi="Times New Roman" w:cs="Times New Roman"/>
          <w:sz w:val="24"/>
          <w:szCs w:val="24"/>
        </w:rPr>
        <w:t>: the spin-off theory and the lack of substantial investment</w:t>
      </w:r>
      <w:r w:rsidR="00195499">
        <w:rPr>
          <w:rFonts w:ascii="Times New Roman" w:hAnsi="Times New Roman" w:cs="Times New Roman"/>
          <w:sz w:val="24"/>
          <w:szCs w:val="24"/>
        </w:rPr>
        <w:t xml:space="preserve"> </w:t>
      </w:r>
      <w:r>
        <w:rPr>
          <w:rFonts w:ascii="Times New Roman" w:hAnsi="Times New Roman" w:cs="Times New Roman"/>
          <w:sz w:val="24"/>
          <w:szCs w:val="24"/>
        </w:rPr>
        <w:t>involved</w:t>
      </w:r>
      <w:r w:rsidR="00605F0F">
        <w:rPr>
          <w:rFonts w:ascii="Times New Roman" w:hAnsi="Times New Roman" w:cs="Times New Roman"/>
          <w:sz w:val="24"/>
          <w:szCs w:val="24"/>
        </w:rPr>
        <w:t>. However, the CJEU</w:t>
      </w:r>
      <w:r w:rsidR="00195499">
        <w:rPr>
          <w:rFonts w:ascii="Times New Roman" w:hAnsi="Times New Roman" w:cs="Times New Roman"/>
          <w:sz w:val="24"/>
          <w:szCs w:val="24"/>
        </w:rPr>
        <w:t xml:space="preserve"> has rejected the f</w:t>
      </w:r>
      <w:r w:rsidR="00D13E9A">
        <w:rPr>
          <w:rFonts w:ascii="Times New Roman" w:hAnsi="Times New Roman" w:cs="Times New Roman"/>
          <w:sz w:val="24"/>
          <w:szCs w:val="24"/>
        </w:rPr>
        <w:t xml:space="preserve">ormer argument and, as we have seen, </w:t>
      </w:r>
      <w:r>
        <w:rPr>
          <w:rFonts w:ascii="Times New Roman" w:hAnsi="Times New Roman" w:cs="Times New Roman"/>
          <w:sz w:val="24"/>
          <w:szCs w:val="24"/>
        </w:rPr>
        <w:t xml:space="preserve">there is likely to be </w:t>
      </w:r>
      <w:r w:rsidR="00D13E9A">
        <w:rPr>
          <w:rFonts w:ascii="Times New Roman" w:hAnsi="Times New Roman" w:cs="Times New Roman"/>
          <w:sz w:val="24"/>
          <w:szCs w:val="24"/>
        </w:rPr>
        <w:t xml:space="preserve">qualitatively or quantitatively substantial </w:t>
      </w:r>
      <w:r>
        <w:rPr>
          <w:rFonts w:ascii="Times New Roman" w:hAnsi="Times New Roman" w:cs="Times New Roman"/>
          <w:sz w:val="24"/>
          <w:szCs w:val="24"/>
        </w:rPr>
        <w:t xml:space="preserve">investment </w:t>
      </w:r>
      <w:r w:rsidR="00D13E9A">
        <w:rPr>
          <w:rFonts w:ascii="Times New Roman" w:hAnsi="Times New Roman" w:cs="Times New Roman"/>
          <w:sz w:val="24"/>
          <w:szCs w:val="24"/>
        </w:rPr>
        <w:t xml:space="preserve">in the </w:t>
      </w:r>
      <w:r>
        <w:rPr>
          <w:rFonts w:ascii="Times New Roman" w:hAnsi="Times New Roman" w:cs="Times New Roman"/>
          <w:sz w:val="24"/>
          <w:szCs w:val="24"/>
        </w:rPr>
        <w:t xml:space="preserve">field of </w:t>
      </w:r>
      <w:r w:rsidR="00D13E9A">
        <w:rPr>
          <w:rFonts w:ascii="Times New Roman" w:hAnsi="Times New Roman" w:cs="Times New Roman"/>
          <w:sz w:val="24"/>
          <w:szCs w:val="24"/>
        </w:rPr>
        <w:t>AI-generated databases.</w:t>
      </w:r>
    </w:p>
    <w:p w14:paraId="623CD16C" w14:textId="7ACBD5B7" w:rsidR="00195499" w:rsidRDefault="00195499"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4235DB" w14:textId="18D8FBCC" w:rsidR="00483751" w:rsidRDefault="00195499"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Nevertheless, given the challenges posed by the </w:t>
      </w:r>
      <w:r w:rsidR="00B5789C">
        <w:rPr>
          <w:rFonts w:ascii="Times New Roman" w:hAnsi="Times New Roman" w:cs="Times New Roman"/>
          <w:sz w:val="24"/>
          <w:szCs w:val="24"/>
        </w:rPr>
        <w:t>B</w:t>
      </w:r>
      <w:r>
        <w:rPr>
          <w:rFonts w:ascii="Times New Roman" w:hAnsi="Times New Roman" w:cs="Times New Roman"/>
          <w:sz w:val="24"/>
          <w:szCs w:val="24"/>
        </w:rPr>
        <w:t xml:space="preserve">ig </w:t>
      </w:r>
      <w:r w:rsidR="00B5789C">
        <w:rPr>
          <w:rFonts w:ascii="Times New Roman" w:hAnsi="Times New Roman" w:cs="Times New Roman"/>
          <w:sz w:val="24"/>
          <w:szCs w:val="24"/>
        </w:rPr>
        <w:t>D</w:t>
      </w:r>
      <w:r>
        <w:rPr>
          <w:rFonts w:ascii="Times New Roman" w:hAnsi="Times New Roman" w:cs="Times New Roman"/>
          <w:sz w:val="24"/>
          <w:szCs w:val="24"/>
        </w:rPr>
        <w:t xml:space="preserve">ata era and the </w:t>
      </w:r>
      <w:r w:rsidR="00483751">
        <w:rPr>
          <w:rFonts w:ascii="Times New Roman" w:hAnsi="Times New Roman" w:cs="Times New Roman"/>
          <w:sz w:val="24"/>
          <w:szCs w:val="24"/>
        </w:rPr>
        <w:t xml:space="preserve">dangers arising </w:t>
      </w:r>
      <w:r>
        <w:rPr>
          <w:rFonts w:ascii="Times New Roman" w:hAnsi="Times New Roman" w:cs="Times New Roman"/>
          <w:sz w:val="24"/>
          <w:szCs w:val="24"/>
        </w:rPr>
        <w:t xml:space="preserve">from the </w:t>
      </w:r>
      <w:r w:rsidRPr="000D214E">
        <w:rPr>
          <w:rFonts w:ascii="Times New Roman" w:hAnsi="Times New Roman" w:cs="Times New Roman"/>
          <w:i/>
          <w:iCs/>
          <w:sz w:val="24"/>
          <w:szCs w:val="24"/>
        </w:rPr>
        <w:t>Ryanair</w:t>
      </w:r>
      <w:r>
        <w:rPr>
          <w:rFonts w:ascii="Times New Roman" w:hAnsi="Times New Roman" w:cs="Times New Roman"/>
          <w:sz w:val="24"/>
          <w:szCs w:val="24"/>
        </w:rPr>
        <w:t xml:space="preserve"> </w:t>
      </w:r>
      <w:r w:rsidR="00443F69">
        <w:rPr>
          <w:rFonts w:ascii="Times New Roman" w:hAnsi="Times New Roman" w:cs="Times New Roman"/>
          <w:sz w:val="24"/>
          <w:szCs w:val="24"/>
        </w:rPr>
        <w:t>judgment</w:t>
      </w:r>
      <w:r>
        <w:rPr>
          <w:rFonts w:ascii="Times New Roman" w:hAnsi="Times New Roman" w:cs="Times New Roman"/>
          <w:sz w:val="24"/>
          <w:szCs w:val="24"/>
        </w:rPr>
        <w:t xml:space="preserve">, the creation/obtaining dichotomy should be abandoned </w:t>
      </w:r>
      <w:r w:rsidR="00483751">
        <w:rPr>
          <w:rFonts w:ascii="Times New Roman" w:hAnsi="Times New Roman" w:cs="Times New Roman"/>
          <w:sz w:val="24"/>
          <w:szCs w:val="24"/>
        </w:rPr>
        <w:t xml:space="preserve">in </w:t>
      </w:r>
      <w:proofErr w:type="spellStart"/>
      <w:r w:rsidR="00483751">
        <w:rPr>
          <w:rFonts w:ascii="Times New Roman" w:hAnsi="Times New Roman" w:cs="Times New Roman"/>
          <w:sz w:val="24"/>
          <w:szCs w:val="24"/>
        </w:rPr>
        <w:t>favour</w:t>
      </w:r>
      <w:proofErr w:type="spellEnd"/>
      <w:r w:rsidR="00483751">
        <w:rPr>
          <w:rFonts w:ascii="Times New Roman" w:hAnsi="Times New Roman" w:cs="Times New Roman"/>
          <w:sz w:val="24"/>
          <w:szCs w:val="24"/>
        </w:rPr>
        <w:t xml:space="preserve"> of </w:t>
      </w:r>
      <w:r>
        <w:rPr>
          <w:rFonts w:ascii="Times New Roman" w:hAnsi="Times New Roman" w:cs="Times New Roman"/>
          <w:sz w:val="24"/>
          <w:szCs w:val="24"/>
        </w:rPr>
        <w:t xml:space="preserve">a broader approach </w:t>
      </w:r>
      <w:r w:rsidR="00483751">
        <w:rPr>
          <w:rFonts w:ascii="Times New Roman" w:hAnsi="Times New Roman" w:cs="Times New Roman"/>
          <w:sz w:val="24"/>
          <w:szCs w:val="24"/>
        </w:rPr>
        <w:t>th</w:t>
      </w:r>
      <w:r w:rsidR="00443F69">
        <w:rPr>
          <w:rFonts w:ascii="Times New Roman" w:hAnsi="Times New Roman" w:cs="Times New Roman"/>
          <w:sz w:val="24"/>
          <w:szCs w:val="24"/>
        </w:rPr>
        <w:t>a</w:t>
      </w:r>
      <w:r w:rsidR="00483751">
        <w:rPr>
          <w:rFonts w:ascii="Times New Roman" w:hAnsi="Times New Roman" w:cs="Times New Roman"/>
          <w:sz w:val="24"/>
          <w:szCs w:val="24"/>
        </w:rPr>
        <w:t xml:space="preserve">t also grants </w:t>
      </w:r>
      <w:r>
        <w:rPr>
          <w:rFonts w:ascii="Times New Roman" w:hAnsi="Times New Roman" w:cs="Times New Roman"/>
          <w:sz w:val="24"/>
          <w:szCs w:val="24"/>
        </w:rPr>
        <w:t>protection in cas</w:t>
      </w:r>
      <w:r w:rsidR="00D13E9A">
        <w:rPr>
          <w:rFonts w:ascii="Times New Roman" w:hAnsi="Times New Roman" w:cs="Times New Roman"/>
          <w:sz w:val="24"/>
          <w:szCs w:val="24"/>
        </w:rPr>
        <w:t>es where investment in the creation and the collection of data is inseparable.</w:t>
      </w:r>
    </w:p>
    <w:p w14:paraId="7349A3BE" w14:textId="0E18ED00" w:rsidR="00D13E9A" w:rsidRDefault="00D13E9A"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4D0534" w14:textId="6DAC89AA" w:rsidR="00483751" w:rsidRDefault="00D13E9A" w:rsidP="00605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this </w:t>
      </w:r>
      <w:r w:rsidR="00483751">
        <w:rPr>
          <w:rFonts w:ascii="Times New Roman" w:hAnsi="Times New Roman" w:cs="Times New Roman"/>
          <w:sz w:val="24"/>
          <w:szCs w:val="24"/>
        </w:rPr>
        <w:t xml:space="preserve">greater </w:t>
      </w:r>
      <w:r>
        <w:rPr>
          <w:rFonts w:ascii="Times New Roman" w:hAnsi="Times New Roman" w:cs="Times New Roman"/>
          <w:sz w:val="24"/>
          <w:szCs w:val="24"/>
        </w:rPr>
        <w:t>protection should be balance</w:t>
      </w:r>
      <w:r w:rsidR="00102850">
        <w:rPr>
          <w:rFonts w:ascii="Times New Roman" w:hAnsi="Times New Roman" w:cs="Times New Roman"/>
          <w:sz w:val="24"/>
          <w:szCs w:val="24"/>
        </w:rPr>
        <w:t>d by</w:t>
      </w:r>
      <w:r>
        <w:rPr>
          <w:rFonts w:ascii="Times New Roman" w:hAnsi="Times New Roman" w:cs="Times New Roman"/>
          <w:sz w:val="24"/>
          <w:szCs w:val="24"/>
        </w:rPr>
        <w:t xml:space="preserve"> </w:t>
      </w:r>
      <w:r w:rsidR="00483751">
        <w:rPr>
          <w:rFonts w:ascii="Times New Roman" w:hAnsi="Times New Roman" w:cs="Times New Roman"/>
          <w:sz w:val="24"/>
          <w:szCs w:val="24"/>
        </w:rPr>
        <w:t xml:space="preserve">the requirement of </w:t>
      </w:r>
      <w:r>
        <w:rPr>
          <w:rFonts w:ascii="Times New Roman" w:hAnsi="Times New Roman" w:cs="Times New Roman"/>
          <w:sz w:val="24"/>
          <w:szCs w:val="24"/>
        </w:rPr>
        <w:t xml:space="preserve">compulsory licenses, </w:t>
      </w:r>
      <w:r w:rsidR="00483751">
        <w:rPr>
          <w:rFonts w:ascii="Times New Roman" w:hAnsi="Times New Roman" w:cs="Times New Roman"/>
          <w:sz w:val="24"/>
          <w:szCs w:val="24"/>
        </w:rPr>
        <w:t xml:space="preserve">extending the activities permitted to the lawful user under Article 8 of the Directive to the entirety of </w:t>
      </w:r>
      <w:r>
        <w:rPr>
          <w:rFonts w:ascii="Times New Roman" w:hAnsi="Times New Roman" w:cs="Times New Roman"/>
          <w:sz w:val="24"/>
          <w:szCs w:val="24"/>
        </w:rPr>
        <w:t>databases</w:t>
      </w:r>
      <w:r w:rsidR="00483751">
        <w:rPr>
          <w:rFonts w:ascii="Times New Roman" w:hAnsi="Times New Roman" w:cs="Times New Roman"/>
          <w:sz w:val="24"/>
          <w:szCs w:val="24"/>
        </w:rPr>
        <w:t xml:space="preserve">, and by aligning </w:t>
      </w:r>
      <w:r>
        <w:rPr>
          <w:rFonts w:ascii="Times New Roman" w:hAnsi="Times New Roman" w:cs="Times New Roman"/>
          <w:sz w:val="24"/>
          <w:szCs w:val="24"/>
        </w:rPr>
        <w:t xml:space="preserve">the exceptions provided under </w:t>
      </w:r>
      <w:r w:rsidR="00756719">
        <w:rPr>
          <w:rFonts w:ascii="Times New Roman" w:hAnsi="Times New Roman" w:cs="Times New Roman"/>
          <w:sz w:val="24"/>
          <w:szCs w:val="24"/>
        </w:rPr>
        <w:t>A</w:t>
      </w:r>
      <w:r>
        <w:rPr>
          <w:rFonts w:ascii="Times New Roman" w:hAnsi="Times New Roman" w:cs="Times New Roman"/>
          <w:sz w:val="24"/>
          <w:szCs w:val="24"/>
        </w:rPr>
        <w:t>rticle 9 of the Directive</w:t>
      </w:r>
      <w:r w:rsidR="00E00363">
        <w:rPr>
          <w:rFonts w:ascii="Times New Roman" w:hAnsi="Times New Roman" w:cs="Times New Roman"/>
          <w:sz w:val="24"/>
          <w:szCs w:val="24"/>
        </w:rPr>
        <w:t xml:space="preserve"> with the ones granted by the </w:t>
      </w:r>
      <w:proofErr w:type="spellStart"/>
      <w:r w:rsidR="00E00363">
        <w:rPr>
          <w:rFonts w:ascii="Times New Roman" w:hAnsi="Times New Roman" w:cs="Times New Roman"/>
          <w:sz w:val="24"/>
          <w:szCs w:val="24"/>
        </w:rPr>
        <w:t>InfoSoc</w:t>
      </w:r>
      <w:proofErr w:type="spellEnd"/>
      <w:r w:rsidR="00E00363">
        <w:rPr>
          <w:rFonts w:ascii="Times New Roman" w:hAnsi="Times New Roman" w:cs="Times New Roman"/>
          <w:sz w:val="24"/>
          <w:szCs w:val="24"/>
        </w:rPr>
        <w:t xml:space="preserve"> Directive</w:t>
      </w:r>
      <w:r w:rsidR="001E322A">
        <w:rPr>
          <w:rFonts w:ascii="Times New Roman" w:hAnsi="Times New Roman" w:cs="Times New Roman"/>
          <w:sz w:val="24"/>
          <w:szCs w:val="24"/>
        </w:rPr>
        <w:t>.</w:t>
      </w:r>
    </w:p>
    <w:p w14:paraId="1BC061AA" w14:textId="77777777" w:rsidR="003A08F7" w:rsidRPr="0024544E" w:rsidRDefault="003A08F7" w:rsidP="006A50FD">
      <w:pPr>
        <w:rPr>
          <w:rFonts w:ascii="Times New Roman" w:hAnsi="Times New Roman" w:cs="Times New Roman"/>
          <w:b/>
          <w:sz w:val="24"/>
          <w:szCs w:val="24"/>
        </w:rPr>
      </w:pPr>
      <w:r w:rsidRPr="0024544E">
        <w:rPr>
          <w:rFonts w:ascii="Times New Roman" w:hAnsi="Times New Roman" w:cs="Times New Roman"/>
          <w:b/>
          <w:sz w:val="24"/>
          <w:szCs w:val="24"/>
        </w:rPr>
        <w:t>Bibliography</w:t>
      </w:r>
    </w:p>
    <w:p w14:paraId="3E6F7DF1" w14:textId="77777777" w:rsidR="003A08F7" w:rsidRPr="0024544E" w:rsidRDefault="003A08F7" w:rsidP="003A08F7">
      <w:pPr>
        <w:spacing w:after="0" w:line="240" w:lineRule="auto"/>
        <w:jc w:val="both"/>
        <w:rPr>
          <w:rFonts w:ascii="Times New Roman" w:hAnsi="Times New Roman" w:cs="Times New Roman"/>
          <w:b/>
          <w:sz w:val="24"/>
          <w:szCs w:val="24"/>
        </w:rPr>
      </w:pPr>
    </w:p>
    <w:p w14:paraId="563F4F74" w14:textId="77777777" w:rsidR="003A08F7" w:rsidRDefault="003A08F7" w:rsidP="003A08F7">
      <w:pPr>
        <w:spacing w:after="0" w:line="240" w:lineRule="auto"/>
        <w:jc w:val="both"/>
        <w:rPr>
          <w:rFonts w:ascii="Times New Roman" w:hAnsi="Times New Roman" w:cs="Times New Roman"/>
          <w:b/>
          <w:sz w:val="24"/>
          <w:szCs w:val="24"/>
        </w:rPr>
      </w:pPr>
      <w:r w:rsidRPr="0024544E">
        <w:rPr>
          <w:rFonts w:ascii="Times New Roman" w:hAnsi="Times New Roman" w:cs="Times New Roman"/>
          <w:b/>
          <w:sz w:val="24"/>
          <w:szCs w:val="24"/>
        </w:rPr>
        <w:lastRenderedPageBreak/>
        <w:t>Books</w:t>
      </w:r>
    </w:p>
    <w:p w14:paraId="55D80B3A" w14:textId="77777777" w:rsidR="003A08F7" w:rsidRDefault="003A08F7" w:rsidP="003A08F7">
      <w:pPr>
        <w:spacing w:after="0" w:line="240" w:lineRule="auto"/>
        <w:jc w:val="both"/>
        <w:rPr>
          <w:rFonts w:ascii="Times New Roman" w:hAnsi="Times New Roman" w:cs="Times New Roman"/>
          <w:b/>
          <w:sz w:val="24"/>
          <w:szCs w:val="24"/>
        </w:rPr>
      </w:pPr>
    </w:p>
    <w:p w14:paraId="5C339419" w14:textId="6159C526" w:rsidR="003A08F7" w:rsidRPr="00415FF9"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T.F. </w:t>
      </w:r>
      <w:proofErr w:type="spellStart"/>
      <w:r>
        <w:rPr>
          <w:rFonts w:ascii="Times New Roman" w:hAnsi="Times New Roman" w:cs="Times New Roman"/>
          <w:sz w:val="24"/>
          <w:szCs w:val="24"/>
        </w:rPr>
        <w:t>Aplin</w:t>
      </w:r>
      <w:proofErr w:type="spellEnd"/>
      <w:r w:rsidR="003A08F7" w:rsidRPr="00415FF9">
        <w:rPr>
          <w:rFonts w:ascii="Times New Roman" w:hAnsi="Times New Roman" w:cs="Times New Roman"/>
          <w:sz w:val="24"/>
          <w:szCs w:val="24"/>
        </w:rPr>
        <w:t xml:space="preserve">, </w:t>
      </w:r>
      <w:r w:rsidR="003A08F7" w:rsidRPr="00415FF9">
        <w:rPr>
          <w:rFonts w:ascii="Times New Roman" w:hAnsi="Times New Roman" w:cs="Times New Roman"/>
          <w:i/>
          <w:sz w:val="24"/>
          <w:szCs w:val="24"/>
        </w:rPr>
        <w:t>Copyright in the digital society – The challenges of multimedia</w:t>
      </w:r>
      <w:r w:rsidR="003A08F7" w:rsidRPr="00415FF9">
        <w:rPr>
          <w:rFonts w:ascii="Times New Roman" w:hAnsi="Times New Roman" w:cs="Times New Roman"/>
          <w:sz w:val="24"/>
          <w:szCs w:val="24"/>
        </w:rPr>
        <w:t>, Hart Publishing, Oxford, 2005</w:t>
      </w:r>
      <w:r w:rsidR="00D20F2E">
        <w:rPr>
          <w:rFonts w:ascii="Times New Roman" w:hAnsi="Times New Roman" w:cs="Times New Roman"/>
          <w:sz w:val="24"/>
          <w:szCs w:val="24"/>
        </w:rPr>
        <w:t>.</w:t>
      </w:r>
    </w:p>
    <w:p w14:paraId="41C56FBA" w14:textId="09735E77" w:rsidR="003A08F7"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sidR="003A08F7">
        <w:rPr>
          <w:rFonts w:ascii="Times New Roman" w:hAnsi="Times New Roman" w:cs="Times New Roman"/>
          <w:sz w:val="24"/>
          <w:szCs w:val="24"/>
        </w:rPr>
        <w:t>Derclaye</w:t>
      </w:r>
      <w:proofErr w:type="spellEnd"/>
      <w:r w:rsidR="003A08F7">
        <w:rPr>
          <w:rFonts w:ascii="Times New Roman" w:hAnsi="Times New Roman" w:cs="Times New Roman"/>
          <w:sz w:val="24"/>
          <w:szCs w:val="24"/>
        </w:rPr>
        <w:t xml:space="preserve">, </w:t>
      </w:r>
      <w:r w:rsidR="003A08F7">
        <w:rPr>
          <w:rFonts w:ascii="Times New Roman" w:hAnsi="Times New Roman" w:cs="Times New Roman"/>
          <w:i/>
          <w:sz w:val="24"/>
          <w:szCs w:val="24"/>
        </w:rPr>
        <w:t>The legal protection of databases: a comparative analysis</w:t>
      </w:r>
      <w:r w:rsidR="003A08F7">
        <w:rPr>
          <w:rFonts w:ascii="Times New Roman" w:hAnsi="Times New Roman" w:cs="Times New Roman"/>
          <w:sz w:val="24"/>
          <w:szCs w:val="24"/>
        </w:rPr>
        <w:t>, Edward Elgar, Cheltenham, 2008</w:t>
      </w:r>
      <w:r w:rsidR="00D20F2E">
        <w:rPr>
          <w:rFonts w:ascii="Times New Roman" w:hAnsi="Times New Roman" w:cs="Times New Roman"/>
          <w:sz w:val="24"/>
          <w:szCs w:val="24"/>
        </w:rPr>
        <w:t>.</w:t>
      </w:r>
    </w:p>
    <w:p w14:paraId="5AD6AAFA" w14:textId="4BED2F73" w:rsidR="00000D55" w:rsidRDefault="00000D55" w:rsidP="00000D55">
      <w:pPr>
        <w:pStyle w:val="Nota"/>
        <w:rPr>
          <w:sz w:val="24"/>
        </w:rPr>
      </w:pPr>
      <w:r w:rsidRPr="00000D55">
        <w:rPr>
          <w:sz w:val="24"/>
        </w:rPr>
        <w:t xml:space="preserve">P.B. </w:t>
      </w:r>
      <w:proofErr w:type="spellStart"/>
      <w:r w:rsidRPr="00000D55">
        <w:rPr>
          <w:sz w:val="24"/>
        </w:rPr>
        <w:t>Hugenholtz</w:t>
      </w:r>
      <w:proofErr w:type="spellEnd"/>
      <w:r w:rsidRPr="00000D55">
        <w:rPr>
          <w:sz w:val="24"/>
        </w:rPr>
        <w:t xml:space="preserve">, </w:t>
      </w:r>
      <w:r w:rsidRPr="00000D55">
        <w:rPr>
          <w:i/>
          <w:sz w:val="24"/>
        </w:rPr>
        <w:t>Data property: unwelcomed guest in the house of IP</w:t>
      </w:r>
      <w:r w:rsidRPr="00000D55">
        <w:rPr>
          <w:sz w:val="24"/>
        </w:rPr>
        <w:t>,</w:t>
      </w:r>
      <w:r>
        <w:rPr>
          <w:sz w:val="24"/>
        </w:rPr>
        <w:t xml:space="preserve"> in H. Ullrich, P. </w:t>
      </w:r>
      <w:proofErr w:type="spellStart"/>
      <w:r>
        <w:rPr>
          <w:sz w:val="24"/>
        </w:rPr>
        <w:t>Drahos</w:t>
      </w:r>
      <w:proofErr w:type="spellEnd"/>
      <w:r>
        <w:rPr>
          <w:sz w:val="24"/>
        </w:rPr>
        <w:t xml:space="preserve">, and G. </w:t>
      </w:r>
      <w:proofErr w:type="spellStart"/>
      <w:r>
        <w:rPr>
          <w:sz w:val="24"/>
        </w:rPr>
        <w:t>Ghidini</w:t>
      </w:r>
      <w:proofErr w:type="spellEnd"/>
      <w:r>
        <w:rPr>
          <w:sz w:val="24"/>
        </w:rPr>
        <w:t xml:space="preserve">, </w:t>
      </w:r>
      <w:r>
        <w:rPr>
          <w:i/>
          <w:sz w:val="24"/>
        </w:rPr>
        <w:t>Kritika: essays on intellectual property</w:t>
      </w:r>
      <w:r>
        <w:rPr>
          <w:sz w:val="24"/>
        </w:rPr>
        <w:t xml:space="preserve"> – </w:t>
      </w:r>
      <w:r>
        <w:rPr>
          <w:i/>
          <w:sz w:val="24"/>
        </w:rPr>
        <w:t>Volume 3</w:t>
      </w:r>
      <w:r>
        <w:rPr>
          <w:sz w:val="24"/>
        </w:rPr>
        <w:t>, Edward Elgar, Cheltenham, 2018</w:t>
      </w:r>
      <w:r w:rsidR="00D52B4C">
        <w:rPr>
          <w:sz w:val="24"/>
        </w:rPr>
        <w:t xml:space="preserve">, also available </w:t>
      </w:r>
      <w:r w:rsidRPr="00000D55">
        <w:rPr>
          <w:sz w:val="24"/>
        </w:rPr>
        <w:t xml:space="preserve">at </w:t>
      </w:r>
      <w:hyperlink r:id="rId9" w:history="1">
        <w:r w:rsidRPr="00000D55">
          <w:rPr>
            <w:rStyle w:val="Hyperlink"/>
            <w:sz w:val="24"/>
          </w:rPr>
          <w:t>https://www.ivir.nl/publicaties/download/Data_property_Muenster.pdf</w:t>
        </w:r>
      </w:hyperlink>
      <w:r w:rsidRPr="00000D55">
        <w:rPr>
          <w:sz w:val="24"/>
        </w:rPr>
        <w:t>, last access</w:t>
      </w:r>
      <w:r w:rsidR="00483751">
        <w:rPr>
          <w:sz w:val="24"/>
        </w:rPr>
        <w:t>ed</w:t>
      </w:r>
      <w:r w:rsidRPr="00000D55">
        <w:rPr>
          <w:sz w:val="24"/>
        </w:rPr>
        <w:t xml:space="preserve"> 22 May 2020</w:t>
      </w:r>
      <w:r w:rsidR="00D20F2E">
        <w:rPr>
          <w:sz w:val="24"/>
        </w:rPr>
        <w:t>.</w:t>
      </w:r>
    </w:p>
    <w:p w14:paraId="4E5C1AF2" w14:textId="65423727" w:rsidR="003A08F7" w:rsidRPr="00160B0D"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Leistner</w:t>
      </w:r>
      <w:proofErr w:type="spellEnd"/>
      <w:r w:rsidR="003A08F7" w:rsidRPr="00160B0D">
        <w:rPr>
          <w:rFonts w:ascii="Times New Roman" w:hAnsi="Times New Roman" w:cs="Times New Roman"/>
          <w:sz w:val="24"/>
          <w:szCs w:val="24"/>
        </w:rPr>
        <w:t xml:space="preserve">, </w:t>
      </w:r>
      <w:r w:rsidR="003A08F7" w:rsidRPr="00160B0D">
        <w:rPr>
          <w:rFonts w:ascii="Times New Roman" w:hAnsi="Times New Roman" w:cs="Times New Roman"/>
          <w:i/>
          <w:sz w:val="24"/>
          <w:szCs w:val="24"/>
        </w:rPr>
        <w:t>Big data and the EU Database Directive 96/9/EC: current law and potential reform</w:t>
      </w:r>
      <w:r w:rsidR="003A08F7" w:rsidRPr="00160B0D">
        <w:rPr>
          <w:rFonts w:ascii="Times New Roman" w:hAnsi="Times New Roman" w:cs="Times New Roman"/>
          <w:sz w:val="24"/>
          <w:szCs w:val="24"/>
        </w:rPr>
        <w:t xml:space="preserve">, in S. </w:t>
      </w:r>
      <w:proofErr w:type="spellStart"/>
      <w:r w:rsidR="003A08F7" w:rsidRPr="00160B0D">
        <w:rPr>
          <w:rFonts w:ascii="Times New Roman" w:hAnsi="Times New Roman" w:cs="Times New Roman"/>
          <w:sz w:val="24"/>
          <w:szCs w:val="24"/>
        </w:rPr>
        <w:t>Lohsse</w:t>
      </w:r>
      <w:proofErr w:type="spellEnd"/>
      <w:r w:rsidR="003A08F7" w:rsidRPr="00160B0D">
        <w:rPr>
          <w:rFonts w:ascii="Times New Roman" w:hAnsi="Times New Roman" w:cs="Times New Roman"/>
          <w:sz w:val="24"/>
          <w:szCs w:val="24"/>
        </w:rPr>
        <w:t xml:space="preserve">, R. </w:t>
      </w:r>
      <w:proofErr w:type="spellStart"/>
      <w:r w:rsidR="003A08F7" w:rsidRPr="00160B0D">
        <w:rPr>
          <w:rFonts w:ascii="Times New Roman" w:hAnsi="Times New Roman" w:cs="Times New Roman"/>
          <w:sz w:val="24"/>
          <w:szCs w:val="24"/>
        </w:rPr>
        <w:t>Shculze</w:t>
      </w:r>
      <w:proofErr w:type="spellEnd"/>
      <w:r w:rsidR="003A08F7" w:rsidRPr="00160B0D">
        <w:rPr>
          <w:rFonts w:ascii="Times New Roman" w:hAnsi="Times New Roman" w:cs="Times New Roman"/>
          <w:sz w:val="24"/>
          <w:szCs w:val="24"/>
        </w:rPr>
        <w:t xml:space="preserve"> and D. </w:t>
      </w:r>
      <w:proofErr w:type="spellStart"/>
      <w:r w:rsidR="003A08F7" w:rsidRPr="00160B0D">
        <w:rPr>
          <w:rFonts w:ascii="Times New Roman" w:hAnsi="Times New Roman" w:cs="Times New Roman"/>
          <w:sz w:val="24"/>
          <w:szCs w:val="24"/>
        </w:rPr>
        <w:t>Staudenmyer</w:t>
      </w:r>
      <w:proofErr w:type="spellEnd"/>
      <w:r w:rsidR="003A08F7" w:rsidRPr="00160B0D">
        <w:rPr>
          <w:rFonts w:ascii="Times New Roman" w:hAnsi="Times New Roman" w:cs="Times New Roman"/>
          <w:sz w:val="24"/>
          <w:szCs w:val="24"/>
        </w:rPr>
        <w:t xml:space="preserve"> (eds.), </w:t>
      </w:r>
      <w:r w:rsidR="003A08F7" w:rsidRPr="00160B0D">
        <w:rPr>
          <w:rFonts w:ascii="Times New Roman" w:hAnsi="Times New Roman" w:cs="Times New Roman"/>
          <w:i/>
          <w:sz w:val="24"/>
          <w:szCs w:val="24"/>
        </w:rPr>
        <w:t>Trading data in the digital economy: legal concepts and tools</w:t>
      </w:r>
      <w:r w:rsidR="003A08F7" w:rsidRPr="00160B0D">
        <w:rPr>
          <w:rFonts w:ascii="Times New Roman" w:hAnsi="Times New Roman" w:cs="Times New Roman"/>
          <w:sz w:val="24"/>
          <w:szCs w:val="24"/>
        </w:rPr>
        <w:t xml:space="preserve">, Nomos, Baden-Baden, 2017, also available at </w:t>
      </w:r>
      <w:hyperlink r:id="rId10" w:history="1">
        <w:r w:rsidR="003A08F7" w:rsidRPr="00160B0D">
          <w:rPr>
            <w:rStyle w:val="Hyperlink"/>
            <w:rFonts w:ascii="Times New Roman" w:hAnsi="Times New Roman" w:cs="Times New Roman"/>
            <w:sz w:val="24"/>
            <w:szCs w:val="24"/>
          </w:rPr>
          <w:t>https://papers.ssrn.com/sol3/papers.cfm?abstract_id=3245937</w:t>
        </w:r>
      </w:hyperlink>
      <w:r w:rsidR="003A08F7" w:rsidRPr="00160B0D">
        <w:rPr>
          <w:rFonts w:ascii="Times New Roman" w:hAnsi="Times New Roman" w:cs="Times New Roman"/>
          <w:sz w:val="24"/>
          <w:szCs w:val="24"/>
        </w:rPr>
        <w:t>, last access</w:t>
      </w:r>
      <w:r w:rsidR="00483751">
        <w:rPr>
          <w:rFonts w:ascii="Times New Roman" w:hAnsi="Times New Roman" w:cs="Times New Roman"/>
          <w:sz w:val="24"/>
          <w:szCs w:val="24"/>
        </w:rPr>
        <w:t>ed</w:t>
      </w:r>
      <w:r w:rsidR="003A08F7" w:rsidRPr="00160B0D">
        <w:rPr>
          <w:rFonts w:ascii="Times New Roman" w:hAnsi="Times New Roman" w:cs="Times New Roman"/>
          <w:sz w:val="24"/>
          <w:szCs w:val="24"/>
        </w:rPr>
        <w:t xml:space="preserve"> 5 May 2020</w:t>
      </w:r>
      <w:r w:rsidR="00D20F2E">
        <w:rPr>
          <w:rFonts w:ascii="Times New Roman" w:hAnsi="Times New Roman" w:cs="Times New Roman"/>
          <w:sz w:val="24"/>
          <w:szCs w:val="24"/>
        </w:rPr>
        <w:t>.</w:t>
      </w:r>
    </w:p>
    <w:p w14:paraId="3E8290BA" w14:textId="573665A4" w:rsidR="003A08F7" w:rsidRDefault="000D6D3F" w:rsidP="003A08F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 Ottolia</w:t>
      </w:r>
      <w:r w:rsidR="003A08F7">
        <w:rPr>
          <w:rFonts w:ascii="Times New Roman" w:hAnsi="Times New Roman" w:cs="Times New Roman"/>
          <w:sz w:val="24"/>
          <w:szCs w:val="24"/>
          <w:lang w:val="it-IT"/>
        </w:rPr>
        <w:t>,</w:t>
      </w:r>
      <w:r w:rsidR="003A08F7" w:rsidRPr="0024544E">
        <w:rPr>
          <w:rFonts w:ascii="Times New Roman" w:hAnsi="Times New Roman" w:cs="Times New Roman"/>
          <w:sz w:val="24"/>
          <w:szCs w:val="24"/>
          <w:lang w:val="it-IT"/>
        </w:rPr>
        <w:t xml:space="preserve"> </w:t>
      </w:r>
      <w:r w:rsidR="003A08F7" w:rsidRPr="0024544E">
        <w:rPr>
          <w:rFonts w:ascii="Times New Roman" w:hAnsi="Times New Roman" w:cs="Times New Roman"/>
          <w:i/>
          <w:sz w:val="24"/>
          <w:szCs w:val="24"/>
          <w:lang w:val="it-IT"/>
        </w:rPr>
        <w:t>Big data e innovazione computazionale</w:t>
      </w:r>
      <w:r w:rsidR="003A08F7" w:rsidRPr="0024544E">
        <w:rPr>
          <w:rFonts w:ascii="Times New Roman" w:hAnsi="Times New Roman" w:cs="Times New Roman"/>
          <w:sz w:val="24"/>
          <w:szCs w:val="24"/>
          <w:lang w:val="it-IT"/>
        </w:rPr>
        <w:t>, G. Giappichel</w:t>
      </w:r>
      <w:r w:rsidR="003A08F7">
        <w:rPr>
          <w:rFonts w:ascii="Times New Roman" w:hAnsi="Times New Roman" w:cs="Times New Roman"/>
          <w:sz w:val="24"/>
          <w:szCs w:val="24"/>
          <w:lang w:val="it-IT"/>
        </w:rPr>
        <w:t>li Editore, Torino, 2017</w:t>
      </w:r>
      <w:r w:rsidR="00D20F2E">
        <w:rPr>
          <w:rFonts w:ascii="Times New Roman" w:hAnsi="Times New Roman" w:cs="Times New Roman"/>
          <w:sz w:val="24"/>
          <w:szCs w:val="24"/>
          <w:lang w:val="it-IT"/>
        </w:rPr>
        <w:t>.</w:t>
      </w:r>
    </w:p>
    <w:p w14:paraId="31F70F1B" w14:textId="77777777" w:rsidR="003A08F7" w:rsidRPr="009228C0" w:rsidRDefault="003A08F7" w:rsidP="003A08F7">
      <w:pPr>
        <w:spacing w:after="0" w:line="240" w:lineRule="auto"/>
        <w:jc w:val="both"/>
        <w:rPr>
          <w:rFonts w:ascii="Times New Roman" w:hAnsi="Times New Roman" w:cs="Times New Roman"/>
          <w:b/>
          <w:sz w:val="24"/>
          <w:szCs w:val="24"/>
          <w:lang w:val="it-IT"/>
        </w:rPr>
      </w:pPr>
    </w:p>
    <w:p w14:paraId="6E0B48FC" w14:textId="77777777" w:rsidR="003A08F7" w:rsidRPr="009228C0" w:rsidRDefault="003A08F7" w:rsidP="003A08F7">
      <w:pPr>
        <w:spacing w:after="0" w:line="240" w:lineRule="auto"/>
        <w:jc w:val="both"/>
        <w:rPr>
          <w:rFonts w:ascii="Times New Roman" w:hAnsi="Times New Roman" w:cs="Times New Roman"/>
          <w:b/>
          <w:sz w:val="24"/>
          <w:szCs w:val="24"/>
          <w:lang w:val="it-IT"/>
        </w:rPr>
      </w:pPr>
    </w:p>
    <w:p w14:paraId="41FBE501" w14:textId="77777777" w:rsidR="003A08F7" w:rsidRPr="0024544E" w:rsidRDefault="003A08F7" w:rsidP="003A08F7">
      <w:pPr>
        <w:spacing w:after="0" w:line="240" w:lineRule="auto"/>
        <w:jc w:val="both"/>
        <w:rPr>
          <w:rFonts w:ascii="Times New Roman" w:hAnsi="Times New Roman" w:cs="Times New Roman"/>
          <w:b/>
          <w:sz w:val="24"/>
          <w:szCs w:val="24"/>
        </w:rPr>
      </w:pPr>
      <w:r w:rsidRPr="0024544E">
        <w:rPr>
          <w:rFonts w:ascii="Times New Roman" w:hAnsi="Times New Roman" w:cs="Times New Roman"/>
          <w:b/>
          <w:sz w:val="24"/>
          <w:szCs w:val="24"/>
        </w:rPr>
        <w:t>Articles</w:t>
      </w:r>
    </w:p>
    <w:p w14:paraId="778D4222" w14:textId="77777777" w:rsidR="003A08F7" w:rsidRDefault="003A08F7" w:rsidP="003A08F7">
      <w:pPr>
        <w:spacing w:after="0" w:line="240" w:lineRule="auto"/>
        <w:jc w:val="both"/>
        <w:rPr>
          <w:rFonts w:ascii="Times New Roman" w:hAnsi="Times New Roman" w:cs="Times New Roman"/>
          <w:b/>
          <w:sz w:val="24"/>
          <w:szCs w:val="24"/>
        </w:rPr>
      </w:pPr>
    </w:p>
    <w:p w14:paraId="349EF9EC" w14:textId="2FDBB589" w:rsidR="000D6D3F"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Cogo</w:t>
      </w:r>
      <w:proofErr w:type="spellEnd"/>
      <w:r w:rsidRPr="00766ADC">
        <w:rPr>
          <w:rFonts w:ascii="Times New Roman" w:hAnsi="Times New Roman" w:cs="Times New Roman"/>
          <w:sz w:val="24"/>
          <w:szCs w:val="24"/>
        </w:rPr>
        <w:t xml:space="preserve">, </w:t>
      </w:r>
      <w:r w:rsidRPr="00766ADC">
        <w:rPr>
          <w:rFonts w:ascii="Times New Roman" w:hAnsi="Times New Roman" w:cs="Times New Roman"/>
          <w:i/>
          <w:sz w:val="24"/>
          <w:szCs w:val="24"/>
        </w:rPr>
        <w:t>Fixtures-Oy – Comment to the judgement</w:t>
      </w:r>
      <w:r w:rsidRPr="00766ADC">
        <w:rPr>
          <w:rFonts w:ascii="Times New Roman" w:hAnsi="Times New Roman" w:cs="Times New Roman"/>
          <w:sz w:val="24"/>
          <w:szCs w:val="24"/>
        </w:rPr>
        <w:t xml:space="preserve">, in </w:t>
      </w:r>
      <w:r w:rsidRPr="00766ADC">
        <w:rPr>
          <w:rFonts w:ascii="Times New Roman" w:hAnsi="Times New Roman" w:cs="Times New Roman"/>
          <w:i/>
          <w:sz w:val="24"/>
          <w:szCs w:val="24"/>
        </w:rPr>
        <w:t>AIDA</w:t>
      </w:r>
      <w:r w:rsidRPr="00766ADC">
        <w:rPr>
          <w:rFonts w:ascii="Times New Roman" w:hAnsi="Times New Roman" w:cs="Times New Roman"/>
          <w:sz w:val="24"/>
          <w:szCs w:val="24"/>
        </w:rPr>
        <w:t xml:space="preserve"> 2005,</w:t>
      </w:r>
      <w:r>
        <w:rPr>
          <w:rFonts w:ascii="Times New Roman" w:hAnsi="Times New Roman" w:cs="Times New Roman"/>
          <w:sz w:val="24"/>
          <w:szCs w:val="24"/>
        </w:rPr>
        <w:t xml:space="preserve"> 407 ff.</w:t>
      </w:r>
    </w:p>
    <w:p w14:paraId="04F90DFF" w14:textId="5CE61EF1" w:rsidR="003A08F7" w:rsidRPr="00766ADC"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Borghi</w:t>
      </w:r>
      <w:proofErr w:type="spellEnd"/>
      <w:r w:rsidR="003A08F7" w:rsidRPr="000C6F71">
        <w:rPr>
          <w:rFonts w:ascii="Times New Roman" w:hAnsi="Times New Roman" w:cs="Times New Roman"/>
          <w:sz w:val="24"/>
          <w:szCs w:val="24"/>
        </w:rPr>
        <w:t xml:space="preserve"> and</w:t>
      </w:r>
      <w:r>
        <w:rPr>
          <w:rFonts w:ascii="Times New Roman" w:hAnsi="Times New Roman" w:cs="Times New Roman"/>
          <w:sz w:val="24"/>
          <w:szCs w:val="24"/>
        </w:rPr>
        <w:t xml:space="preserve"> S. </w:t>
      </w:r>
      <w:proofErr w:type="spellStart"/>
      <w:r>
        <w:rPr>
          <w:rFonts w:ascii="Times New Roman" w:hAnsi="Times New Roman" w:cs="Times New Roman"/>
          <w:sz w:val="24"/>
          <w:szCs w:val="24"/>
        </w:rPr>
        <w:t>Karapapa</w:t>
      </w:r>
      <w:proofErr w:type="spellEnd"/>
      <w:r w:rsidR="003A08F7" w:rsidRPr="000C6F71">
        <w:rPr>
          <w:rFonts w:ascii="Times New Roman" w:hAnsi="Times New Roman" w:cs="Times New Roman"/>
          <w:sz w:val="24"/>
          <w:szCs w:val="24"/>
        </w:rPr>
        <w:t xml:space="preserve">, </w:t>
      </w:r>
      <w:r w:rsidR="003A08F7" w:rsidRPr="000C6F71">
        <w:rPr>
          <w:rFonts w:ascii="Times New Roman" w:hAnsi="Times New Roman" w:cs="Times New Roman"/>
          <w:i/>
          <w:sz w:val="24"/>
          <w:szCs w:val="24"/>
        </w:rPr>
        <w:t xml:space="preserve">Contractual restrictions on lawful use of information: sole-source databases protected by the back </w:t>
      </w:r>
      <w:proofErr w:type="gramStart"/>
      <w:r w:rsidR="003A08F7" w:rsidRPr="000C6F71">
        <w:rPr>
          <w:rFonts w:ascii="Times New Roman" w:hAnsi="Times New Roman" w:cs="Times New Roman"/>
          <w:i/>
          <w:sz w:val="24"/>
          <w:szCs w:val="24"/>
        </w:rPr>
        <w:t>door?</w:t>
      </w:r>
      <w:r w:rsidR="003A08F7" w:rsidRPr="000C6F71">
        <w:rPr>
          <w:rFonts w:ascii="Times New Roman" w:hAnsi="Times New Roman" w:cs="Times New Roman"/>
          <w:sz w:val="24"/>
          <w:szCs w:val="24"/>
        </w:rPr>
        <w:t>,</w:t>
      </w:r>
      <w:proofErr w:type="gramEnd"/>
      <w:r w:rsidR="003A08F7" w:rsidRPr="000C6F71">
        <w:rPr>
          <w:rFonts w:ascii="Times New Roman" w:hAnsi="Times New Roman" w:cs="Times New Roman"/>
          <w:sz w:val="24"/>
          <w:szCs w:val="24"/>
        </w:rPr>
        <w:t xml:space="preserve"> in </w:t>
      </w:r>
      <w:r w:rsidR="003A08F7" w:rsidRPr="000C6F71">
        <w:rPr>
          <w:rFonts w:ascii="Times New Roman" w:hAnsi="Times New Roman" w:cs="Times New Roman"/>
          <w:i/>
          <w:sz w:val="24"/>
          <w:szCs w:val="24"/>
        </w:rPr>
        <w:t>EIPR</w:t>
      </w:r>
      <w:r w:rsidR="003A08F7" w:rsidRPr="000C6F71">
        <w:rPr>
          <w:rFonts w:ascii="Times New Roman" w:hAnsi="Times New Roman" w:cs="Times New Roman"/>
          <w:sz w:val="24"/>
          <w:szCs w:val="24"/>
        </w:rPr>
        <w:t xml:space="preserve">, 2015, also available at </w:t>
      </w:r>
      <w:hyperlink r:id="rId11" w:history="1">
        <w:r w:rsidR="003A08F7" w:rsidRPr="000C6F71">
          <w:rPr>
            <w:rStyle w:val="Hyperlink"/>
            <w:rFonts w:ascii="Times New Roman" w:hAnsi="Times New Roman" w:cs="Times New Roman"/>
            <w:sz w:val="24"/>
            <w:szCs w:val="24"/>
          </w:rPr>
          <w:t>https://papers.ssrn.com/sol3/papers.cfm?abstract_id=2862248</w:t>
        </w:r>
      </w:hyperlink>
      <w:r>
        <w:rPr>
          <w:rFonts w:ascii="Times New Roman" w:hAnsi="Times New Roman" w:cs="Times New Roman"/>
          <w:sz w:val="24"/>
          <w:szCs w:val="24"/>
        </w:rPr>
        <w:t>, last access</w:t>
      </w:r>
      <w:r w:rsidR="00483751">
        <w:rPr>
          <w:rFonts w:ascii="Times New Roman" w:hAnsi="Times New Roman" w:cs="Times New Roman"/>
          <w:sz w:val="24"/>
          <w:szCs w:val="24"/>
        </w:rPr>
        <w:t>ed</w:t>
      </w:r>
      <w:r>
        <w:rPr>
          <w:rFonts w:ascii="Times New Roman" w:hAnsi="Times New Roman" w:cs="Times New Roman"/>
          <w:sz w:val="24"/>
          <w:szCs w:val="24"/>
        </w:rPr>
        <w:t xml:space="preserve"> 5 May 2020</w:t>
      </w:r>
      <w:r w:rsidR="00D20F2E">
        <w:rPr>
          <w:rFonts w:ascii="Times New Roman" w:hAnsi="Times New Roman" w:cs="Times New Roman"/>
          <w:sz w:val="24"/>
          <w:szCs w:val="24"/>
        </w:rPr>
        <w:t>.</w:t>
      </w:r>
    </w:p>
    <w:p w14:paraId="619A9F71" w14:textId="033DDFA4" w:rsidR="003A08F7" w:rsidRPr="00880594"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M.J. Davison </w:t>
      </w:r>
      <w:r w:rsidR="003A08F7" w:rsidRPr="00880594">
        <w:rPr>
          <w:rFonts w:ascii="Times New Roman" w:hAnsi="Times New Roman" w:cs="Times New Roman"/>
          <w:sz w:val="24"/>
          <w:szCs w:val="24"/>
        </w:rPr>
        <w:t>and</w:t>
      </w:r>
      <w:r>
        <w:rPr>
          <w:rFonts w:ascii="Times New Roman" w:hAnsi="Times New Roman" w:cs="Times New Roman"/>
          <w:sz w:val="24"/>
          <w:szCs w:val="24"/>
        </w:rPr>
        <w:t xml:space="preserve"> P.B. </w:t>
      </w:r>
      <w:proofErr w:type="spellStart"/>
      <w:r>
        <w:rPr>
          <w:rFonts w:ascii="Times New Roman" w:hAnsi="Times New Roman" w:cs="Times New Roman"/>
          <w:sz w:val="24"/>
          <w:szCs w:val="24"/>
        </w:rPr>
        <w:t>Hugenholtz</w:t>
      </w:r>
      <w:proofErr w:type="spellEnd"/>
      <w:r>
        <w:rPr>
          <w:rFonts w:ascii="Times New Roman" w:hAnsi="Times New Roman" w:cs="Times New Roman"/>
          <w:sz w:val="24"/>
          <w:szCs w:val="24"/>
        </w:rPr>
        <w:t>,</w:t>
      </w:r>
      <w:r w:rsidR="003A08F7" w:rsidRPr="00880594">
        <w:rPr>
          <w:rFonts w:ascii="Times New Roman" w:hAnsi="Times New Roman" w:cs="Times New Roman"/>
          <w:sz w:val="24"/>
          <w:szCs w:val="24"/>
        </w:rPr>
        <w:t xml:space="preserve"> </w:t>
      </w:r>
      <w:r w:rsidR="003A08F7" w:rsidRPr="00880594">
        <w:rPr>
          <w:rFonts w:ascii="Times New Roman" w:hAnsi="Times New Roman" w:cs="Times New Roman"/>
          <w:i/>
          <w:sz w:val="24"/>
          <w:szCs w:val="24"/>
        </w:rPr>
        <w:t>Football fixtures, horse races and spin-offs: the ECJ domesticates the database right</w:t>
      </w:r>
      <w:r w:rsidR="003A08F7" w:rsidRPr="00880594">
        <w:rPr>
          <w:rFonts w:ascii="Times New Roman" w:hAnsi="Times New Roman" w:cs="Times New Roman"/>
          <w:sz w:val="24"/>
          <w:szCs w:val="24"/>
        </w:rPr>
        <w:t xml:space="preserve">, in </w:t>
      </w:r>
      <w:r w:rsidR="003A08F7" w:rsidRPr="00880594">
        <w:rPr>
          <w:rFonts w:ascii="Times New Roman" w:hAnsi="Times New Roman" w:cs="Times New Roman"/>
          <w:i/>
          <w:sz w:val="24"/>
          <w:szCs w:val="24"/>
        </w:rPr>
        <w:t>EIPR</w:t>
      </w:r>
      <w:r w:rsidR="003A08F7" w:rsidRPr="00880594">
        <w:rPr>
          <w:rFonts w:ascii="Times New Roman" w:hAnsi="Times New Roman" w:cs="Times New Roman"/>
          <w:sz w:val="24"/>
          <w:szCs w:val="24"/>
        </w:rPr>
        <w:t xml:space="preserve"> 2005, available at </w:t>
      </w:r>
      <w:hyperlink r:id="rId12" w:history="1">
        <w:r w:rsidR="003A08F7" w:rsidRPr="00880594">
          <w:rPr>
            <w:rStyle w:val="Hyperlink"/>
            <w:rFonts w:ascii="Times New Roman" w:hAnsi="Times New Roman" w:cs="Times New Roman"/>
            <w:sz w:val="24"/>
            <w:szCs w:val="24"/>
          </w:rPr>
          <w:t>https://www.ivir.nl/publicaties/download/EIPR_2005_3_databaseright.pdf</w:t>
        </w:r>
      </w:hyperlink>
      <w:r w:rsidR="003A08F7" w:rsidRPr="00880594">
        <w:rPr>
          <w:rFonts w:ascii="Times New Roman" w:hAnsi="Times New Roman" w:cs="Times New Roman"/>
          <w:sz w:val="24"/>
          <w:szCs w:val="24"/>
        </w:rPr>
        <w:t>, last access</w:t>
      </w:r>
      <w:r w:rsidR="00483751">
        <w:rPr>
          <w:rFonts w:ascii="Times New Roman" w:hAnsi="Times New Roman" w:cs="Times New Roman"/>
          <w:sz w:val="24"/>
          <w:szCs w:val="24"/>
        </w:rPr>
        <w:t>ed</w:t>
      </w:r>
      <w:r w:rsidR="003A08F7" w:rsidRPr="00880594">
        <w:rPr>
          <w:rFonts w:ascii="Times New Roman" w:hAnsi="Times New Roman" w:cs="Times New Roman"/>
          <w:sz w:val="24"/>
          <w:szCs w:val="24"/>
        </w:rPr>
        <w:t xml:space="preserve"> 4 May 2020</w:t>
      </w:r>
      <w:r w:rsidR="00D20F2E">
        <w:rPr>
          <w:rFonts w:ascii="Times New Roman" w:hAnsi="Times New Roman" w:cs="Times New Roman"/>
          <w:sz w:val="24"/>
          <w:szCs w:val="24"/>
        </w:rPr>
        <w:t>.</w:t>
      </w:r>
    </w:p>
    <w:p w14:paraId="5F7843E4" w14:textId="0EA7C749" w:rsidR="000D6D3F"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Derclaye</w:t>
      </w:r>
      <w:proofErr w:type="spellEnd"/>
      <w:r w:rsidR="003A08F7" w:rsidRPr="003C3995">
        <w:rPr>
          <w:rFonts w:ascii="Times New Roman" w:hAnsi="Times New Roman" w:cs="Times New Roman"/>
          <w:sz w:val="24"/>
          <w:szCs w:val="24"/>
        </w:rPr>
        <w:t xml:space="preserve">, </w:t>
      </w:r>
      <w:r w:rsidR="003A08F7" w:rsidRPr="003C3995">
        <w:rPr>
          <w:rFonts w:ascii="Times New Roman" w:hAnsi="Times New Roman" w:cs="Times New Roman"/>
          <w:i/>
          <w:sz w:val="24"/>
          <w:szCs w:val="24"/>
        </w:rPr>
        <w:t xml:space="preserve">Databases sui generis right: should we adopt the spin off </w:t>
      </w:r>
      <w:proofErr w:type="gramStart"/>
      <w:r w:rsidR="003A08F7" w:rsidRPr="003C3995">
        <w:rPr>
          <w:rFonts w:ascii="Times New Roman" w:hAnsi="Times New Roman" w:cs="Times New Roman"/>
          <w:i/>
          <w:sz w:val="24"/>
          <w:szCs w:val="24"/>
        </w:rPr>
        <w:t>theory?</w:t>
      </w:r>
      <w:r w:rsidR="003A08F7" w:rsidRPr="003C3995">
        <w:rPr>
          <w:rFonts w:ascii="Times New Roman" w:hAnsi="Times New Roman" w:cs="Times New Roman"/>
          <w:sz w:val="24"/>
          <w:szCs w:val="24"/>
        </w:rPr>
        <w:t>,</w:t>
      </w:r>
      <w:proofErr w:type="gramEnd"/>
      <w:r w:rsidR="003A08F7" w:rsidRPr="003C3995">
        <w:rPr>
          <w:rFonts w:ascii="Times New Roman" w:hAnsi="Times New Roman" w:cs="Times New Roman"/>
          <w:sz w:val="24"/>
          <w:szCs w:val="24"/>
        </w:rPr>
        <w:t xml:space="preserve"> in </w:t>
      </w:r>
      <w:r w:rsidR="003A08F7" w:rsidRPr="000D6D3F">
        <w:rPr>
          <w:rFonts w:ascii="Times New Roman" w:hAnsi="Times New Roman" w:cs="Times New Roman"/>
          <w:i/>
          <w:sz w:val="24"/>
          <w:szCs w:val="24"/>
        </w:rPr>
        <w:t>EIPR</w:t>
      </w:r>
      <w:r>
        <w:rPr>
          <w:rFonts w:ascii="Times New Roman" w:hAnsi="Times New Roman" w:cs="Times New Roman"/>
          <w:sz w:val="24"/>
          <w:szCs w:val="24"/>
        </w:rPr>
        <w:t xml:space="preserve"> 2004,</w:t>
      </w:r>
      <w:r w:rsidR="00F759E2">
        <w:rPr>
          <w:rFonts w:ascii="Times New Roman" w:hAnsi="Times New Roman" w:cs="Times New Roman"/>
          <w:sz w:val="24"/>
          <w:szCs w:val="24"/>
        </w:rPr>
        <w:t xml:space="preserve"> 402 ff.</w:t>
      </w:r>
    </w:p>
    <w:p w14:paraId="0C083B48" w14:textId="32D6EDC2" w:rsidR="009C3CB2" w:rsidRPr="009C3CB2" w:rsidRDefault="009C3CB2" w:rsidP="003A08F7">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J. </w:t>
      </w:r>
      <w:proofErr w:type="spellStart"/>
      <w:r w:rsidRPr="006F2378">
        <w:rPr>
          <w:rFonts w:ascii="Times New Roman" w:hAnsi="Times New Roman" w:cs="Times New Roman"/>
          <w:sz w:val="24"/>
          <w:szCs w:val="24"/>
        </w:rPr>
        <w:t>Drexl</w:t>
      </w:r>
      <w:proofErr w:type="spellEnd"/>
      <w:r w:rsidRPr="006F2378">
        <w:rPr>
          <w:rFonts w:ascii="Times New Roman" w:hAnsi="Times New Roman" w:cs="Times New Roman"/>
          <w:sz w:val="24"/>
          <w:szCs w:val="24"/>
        </w:rPr>
        <w:t xml:space="preserve">, </w:t>
      </w:r>
      <w:r w:rsidRPr="006F2378">
        <w:rPr>
          <w:rFonts w:ascii="Times New Roman" w:hAnsi="Times New Roman" w:cs="Times New Roman"/>
          <w:i/>
          <w:sz w:val="24"/>
          <w:szCs w:val="24"/>
        </w:rPr>
        <w:t xml:space="preserve">Designing competitive markets for industrial data – Between </w:t>
      </w:r>
      <w:proofErr w:type="spellStart"/>
      <w:r w:rsidRPr="006F2378">
        <w:rPr>
          <w:rFonts w:ascii="Times New Roman" w:hAnsi="Times New Roman" w:cs="Times New Roman"/>
          <w:i/>
          <w:sz w:val="24"/>
          <w:szCs w:val="24"/>
        </w:rPr>
        <w:t>propertisation</w:t>
      </w:r>
      <w:proofErr w:type="spellEnd"/>
      <w:r w:rsidRPr="006F2378">
        <w:rPr>
          <w:rFonts w:ascii="Times New Roman" w:hAnsi="Times New Roman" w:cs="Times New Roman"/>
          <w:i/>
          <w:sz w:val="24"/>
          <w:szCs w:val="24"/>
        </w:rPr>
        <w:t xml:space="preserve"> and access</w:t>
      </w:r>
      <w:r w:rsidRPr="006F2378">
        <w:rPr>
          <w:rFonts w:ascii="Times New Roman" w:hAnsi="Times New Roman" w:cs="Times New Roman"/>
          <w:sz w:val="24"/>
          <w:szCs w:val="24"/>
        </w:rPr>
        <w:t xml:space="preserve">, in </w:t>
      </w:r>
      <w:r w:rsidRPr="006F2378">
        <w:rPr>
          <w:rFonts w:ascii="Times New Roman" w:hAnsi="Times New Roman" w:cs="Times New Roman"/>
          <w:i/>
          <w:sz w:val="24"/>
          <w:szCs w:val="24"/>
        </w:rPr>
        <w:t>JIPTEC</w:t>
      </w:r>
      <w:r w:rsidRPr="006F2378">
        <w:rPr>
          <w:rFonts w:ascii="Times New Roman" w:hAnsi="Times New Roman" w:cs="Times New Roman"/>
          <w:sz w:val="24"/>
          <w:szCs w:val="24"/>
        </w:rPr>
        <w:t>, 2017, 257 ff.</w:t>
      </w:r>
    </w:p>
    <w:p w14:paraId="4C8CD12E" w14:textId="384AADFB" w:rsidR="003A08F7" w:rsidRPr="00C759E9"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Gaster</w:t>
      </w:r>
      <w:proofErr w:type="spellEnd"/>
      <w:r w:rsidR="003A08F7" w:rsidRPr="00C759E9">
        <w:rPr>
          <w:rFonts w:ascii="Times New Roman" w:hAnsi="Times New Roman" w:cs="Times New Roman"/>
          <w:sz w:val="24"/>
          <w:szCs w:val="24"/>
        </w:rPr>
        <w:t>, “</w:t>
      </w:r>
      <w:proofErr w:type="spellStart"/>
      <w:r w:rsidR="003A08F7" w:rsidRPr="00C759E9">
        <w:rPr>
          <w:rFonts w:ascii="Times New Roman" w:hAnsi="Times New Roman" w:cs="Times New Roman"/>
          <w:i/>
          <w:sz w:val="24"/>
          <w:szCs w:val="24"/>
        </w:rPr>
        <w:t>Obtinere</w:t>
      </w:r>
      <w:proofErr w:type="spellEnd"/>
      <w:r w:rsidR="003A08F7" w:rsidRPr="00C759E9">
        <w:rPr>
          <w:rFonts w:ascii="Times New Roman" w:hAnsi="Times New Roman" w:cs="Times New Roman"/>
          <w:i/>
          <w:sz w:val="24"/>
          <w:szCs w:val="24"/>
        </w:rPr>
        <w:t xml:space="preserve">” of Data in the Eyes of the ECJ - How to interpret the Database Directive after British Horseracing Board Ltd et al. v. William Hill </w:t>
      </w:r>
      <w:proofErr w:type="spellStart"/>
      <w:r w:rsidR="003A08F7" w:rsidRPr="00C759E9">
        <w:rPr>
          <w:rFonts w:ascii="Times New Roman" w:hAnsi="Times New Roman" w:cs="Times New Roman"/>
          <w:i/>
          <w:sz w:val="24"/>
          <w:szCs w:val="24"/>
        </w:rPr>
        <w:t>Organisation</w:t>
      </w:r>
      <w:proofErr w:type="spellEnd"/>
      <w:r w:rsidR="003A08F7" w:rsidRPr="00C759E9">
        <w:rPr>
          <w:rFonts w:ascii="Times New Roman" w:hAnsi="Times New Roman" w:cs="Times New Roman"/>
          <w:i/>
          <w:sz w:val="24"/>
          <w:szCs w:val="24"/>
        </w:rPr>
        <w:t xml:space="preserve"> Ltd</w:t>
      </w:r>
      <w:r w:rsidR="003A08F7" w:rsidRPr="00C759E9">
        <w:rPr>
          <w:rFonts w:ascii="Times New Roman" w:hAnsi="Times New Roman" w:cs="Times New Roman"/>
          <w:sz w:val="24"/>
          <w:szCs w:val="24"/>
        </w:rPr>
        <w:t xml:space="preserve">, in </w:t>
      </w:r>
      <w:r w:rsidR="003A08F7" w:rsidRPr="00C759E9">
        <w:rPr>
          <w:rFonts w:ascii="Times New Roman" w:hAnsi="Times New Roman" w:cs="Times New Roman"/>
          <w:i/>
          <w:sz w:val="24"/>
          <w:szCs w:val="24"/>
        </w:rPr>
        <w:t xml:space="preserve">Computer und </w:t>
      </w:r>
      <w:proofErr w:type="spellStart"/>
      <w:r w:rsidR="003A08F7" w:rsidRPr="00C759E9">
        <w:rPr>
          <w:rFonts w:ascii="Times New Roman" w:hAnsi="Times New Roman" w:cs="Times New Roman"/>
          <w:i/>
          <w:sz w:val="24"/>
          <w:szCs w:val="24"/>
        </w:rPr>
        <w:t>Recht</w:t>
      </w:r>
      <w:proofErr w:type="spellEnd"/>
      <w:r w:rsidR="003A08F7" w:rsidRPr="00C759E9">
        <w:rPr>
          <w:rFonts w:ascii="Times New Roman" w:hAnsi="Times New Roman" w:cs="Times New Roman"/>
          <w:i/>
          <w:sz w:val="24"/>
          <w:szCs w:val="24"/>
        </w:rPr>
        <w:t>: International</w:t>
      </w:r>
      <w:r>
        <w:rPr>
          <w:rFonts w:ascii="Times New Roman" w:hAnsi="Times New Roman" w:cs="Times New Roman"/>
          <w:sz w:val="24"/>
          <w:szCs w:val="24"/>
        </w:rPr>
        <w:t xml:space="preserve"> 2005,</w:t>
      </w:r>
      <w:r w:rsidR="003A08F7" w:rsidRPr="00C759E9">
        <w:rPr>
          <w:rFonts w:ascii="Times New Roman" w:hAnsi="Times New Roman" w:cs="Times New Roman"/>
          <w:sz w:val="24"/>
          <w:szCs w:val="24"/>
        </w:rPr>
        <w:t xml:space="preserve"> 129 ff.</w:t>
      </w:r>
    </w:p>
    <w:p w14:paraId="04B8B83A" w14:textId="7746A794" w:rsidR="00861C0D" w:rsidRPr="00861C0D" w:rsidRDefault="00861C0D" w:rsidP="003A08F7">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J. Ginsburg, </w:t>
      </w:r>
      <w:r w:rsidRPr="006F2378">
        <w:rPr>
          <w:rFonts w:ascii="Times New Roman" w:hAnsi="Times New Roman" w:cs="Times New Roman"/>
          <w:i/>
          <w:sz w:val="24"/>
          <w:szCs w:val="24"/>
        </w:rPr>
        <w:t>Creation and commercial value: copyright protection of works of information</w:t>
      </w:r>
      <w:r w:rsidRPr="006F2378">
        <w:rPr>
          <w:rFonts w:ascii="Times New Roman" w:hAnsi="Times New Roman" w:cs="Times New Roman"/>
          <w:sz w:val="24"/>
          <w:szCs w:val="24"/>
        </w:rPr>
        <w:t xml:space="preserve">, in </w:t>
      </w:r>
      <w:r w:rsidRPr="006F2378">
        <w:rPr>
          <w:rFonts w:ascii="Times New Roman" w:hAnsi="Times New Roman" w:cs="Times New Roman"/>
          <w:i/>
          <w:sz w:val="24"/>
          <w:szCs w:val="24"/>
        </w:rPr>
        <w:t>Colum. L. Rev.</w:t>
      </w:r>
      <w:r w:rsidRPr="00861C0D">
        <w:rPr>
          <w:rFonts w:ascii="Times New Roman" w:hAnsi="Times New Roman" w:cs="Times New Roman"/>
          <w:sz w:val="24"/>
          <w:szCs w:val="24"/>
        </w:rPr>
        <w:t xml:space="preserve">, 1990, 1865 </w:t>
      </w:r>
      <w:r>
        <w:rPr>
          <w:rFonts w:ascii="Times New Roman" w:hAnsi="Times New Roman" w:cs="Times New Roman"/>
          <w:sz w:val="24"/>
          <w:szCs w:val="24"/>
        </w:rPr>
        <w:t>ff.</w:t>
      </w:r>
    </w:p>
    <w:p w14:paraId="5141B6CA" w14:textId="77B9531E" w:rsidR="003A08F7"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Goertzel</w:t>
      </w:r>
      <w:proofErr w:type="spellEnd"/>
      <w:r w:rsidR="003A08F7" w:rsidRPr="003D079C">
        <w:rPr>
          <w:rFonts w:ascii="Times New Roman" w:hAnsi="Times New Roman" w:cs="Times New Roman"/>
          <w:sz w:val="24"/>
          <w:szCs w:val="24"/>
        </w:rPr>
        <w:t xml:space="preserve">, </w:t>
      </w:r>
      <w:r>
        <w:rPr>
          <w:rFonts w:ascii="Times New Roman" w:hAnsi="Times New Roman" w:cs="Times New Roman"/>
          <w:i/>
          <w:sz w:val="24"/>
          <w:szCs w:val="24"/>
        </w:rPr>
        <w:t>The path to m</w:t>
      </w:r>
      <w:r w:rsidR="003A08F7" w:rsidRPr="003D079C">
        <w:rPr>
          <w:rFonts w:ascii="Times New Roman" w:hAnsi="Times New Roman" w:cs="Times New Roman"/>
          <w:i/>
          <w:sz w:val="24"/>
          <w:szCs w:val="24"/>
        </w:rPr>
        <w:t>ore General Artificial Intelligence</w:t>
      </w:r>
      <w:r w:rsidR="003A08F7" w:rsidRPr="003D079C">
        <w:rPr>
          <w:rFonts w:ascii="Times New Roman" w:hAnsi="Times New Roman" w:cs="Times New Roman"/>
          <w:sz w:val="24"/>
          <w:szCs w:val="24"/>
        </w:rPr>
        <w:t xml:space="preserve">, in </w:t>
      </w:r>
      <w:r w:rsidR="003A08F7" w:rsidRPr="003D079C">
        <w:rPr>
          <w:rFonts w:ascii="Times New Roman" w:hAnsi="Times New Roman" w:cs="Times New Roman"/>
          <w:i/>
          <w:sz w:val="24"/>
          <w:szCs w:val="24"/>
        </w:rPr>
        <w:t>Journal of Experimental &amp; Theoretical Artificial Intelligence</w:t>
      </w:r>
      <w:r w:rsidR="003A08F7" w:rsidRPr="003D079C">
        <w:rPr>
          <w:rFonts w:ascii="Times New Roman" w:hAnsi="Times New Roman" w:cs="Times New Roman"/>
          <w:sz w:val="24"/>
          <w:szCs w:val="24"/>
        </w:rPr>
        <w:t xml:space="preserve"> 2014, available at</w:t>
      </w:r>
      <w:r w:rsidR="003A08F7">
        <w:rPr>
          <w:rFonts w:ascii="Times New Roman" w:hAnsi="Times New Roman" w:cs="Times New Roman"/>
          <w:sz w:val="24"/>
          <w:szCs w:val="24"/>
        </w:rPr>
        <w:tab/>
      </w:r>
      <w:r w:rsidR="003A08F7" w:rsidRPr="003D079C">
        <w:rPr>
          <w:rFonts w:ascii="Times New Roman" w:hAnsi="Times New Roman" w:cs="Times New Roman"/>
          <w:sz w:val="24"/>
          <w:szCs w:val="24"/>
        </w:rPr>
        <w:t xml:space="preserve"> </w:t>
      </w:r>
      <w:hyperlink r:id="rId13" w:history="1">
        <w:r w:rsidR="003A08F7" w:rsidRPr="003D079C">
          <w:rPr>
            <w:rStyle w:val="Hyperlink"/>
            <w:rFonts w:ascii="Times New Roman" w:hAnsi="Times New Roman" w:cs="Times New Roman"/>
            <w:sz w:val="24"/>
            <w:szCs w:val="24"/>
          </w:rPr>
          <w:t>https://www.researchgate.net/publication/263429725_The_path_to_more_general_artificial_intelligence/link/5a6a17580f7e9b01f3efc656/download</w:t>
        </w:r>
      </w:hyperlink>
      <w:r w:rsidR="003A08F7" w:rsidRPr="003D079C">
        <w:rPr>
          <w:rFonts w:ascii="Times New Roman" w:hAnsi="Times New Roman" w:cs="Times New Roman"/>
          <w:sz w:val="24"/>
          <w:szCs w:val="24"/>
        </w:rPr>
        <w:t>, last ac</w:t>
      </w:r>
      <w:r w:rsidR="003A08F7">
        <w:rPr>
          <w:rFonts w:ascii="Times New Roman" w:hAnsi="Times New Roman" w:cs="Times New Roman"/>
          <w:sz w:val="24"/>
          <w:szCs w:val="24"/>
        </w:rPr>
        <w:t>cess</w:t>
      </w:r>
      <w:r w:rsidR="00D20F2E">
        <w:rPr>
          <w:rFonts w:ascii="Times New Roman" w:hAnsi="Times New Roman" w:cs="Times New Roman"/>
          <w:sz w:val="24"/>
          <w:szCs w:val="24"/>
        </w:rPr>
        <w:t>ed</w:t>
      </w:r>
      <w:r w:rsidR="003A08F7">
        <w:rPr>
          <w:rFonts w:ascii="Times New Roman" w:hAnsi="Times New Roman" w:cs="Times New Roman"/>
          <w:sz w:val="24"/>
          <w:szCs w:val="24"/>
        </w:rPr>
        <w:t xml:space="preserve"> 30 April 2020</w:t>
      </w:r>
      <w:r w:rsidR="00D20F2E">
        <w:rPr>
          <w:rFonts w:ascii="Times New Roman" w:hAnsi="Times New Roman" w:cs="Times New Roman"/>
          <w:sz w:val="24"/>
          <w:szCs w:val="24"/>
        </w:rPr>
        <w:t>.</w:t>
      </w:r>
    </w:p>
    <w:p w14:paraId="610E3E7E" w14:textId="1BB69D1D" w:rsidR="003A08F7"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P.B. </w:t>
      </w:r>
      <w:proofErr w:type="spellStart"/>
      <w:r>
        <w:rPr>
          <w:rFonts w:ascii="Times New Roman" w:hAnsi="Times New Roman" w:cs="Times New Roman"/>
          <w:sz w:val="24"/>
          <w:szCs w:val="24"/>
        </w:rPr>
        <w:t>Hugenholtz</w:t>
      </w:r>
      <w:proofErr w:type="spellEnd"/>
      <w:r w:rsidR="003A08F7" w:rsidRPr="000A1145">
        <w:rPr>
          <w:rFonts w:ascii="Times New Roman" w:hAnsi="Times New Roman" w:cs="Times New Roman"/>
          <w:sz w:val="24"/>
          <w:szCs w:val="24"/>
        </w:rPr>
        <w:t xml:space="preserve">, </w:t>
      </w:r>
      <w:r w:rsidR="003A08F7" w:rsidRPr="000A1145">
        <w:rPr>
          <w:rFonts w:ascii="Times New Roman" w:hAnsi="Times New Roman" w:cs="Times New Roman"/>
          <w:i/>
          <w:sz w:val="24"/>
          <w:szCs w:val="24"/>
        </w:rPr>
        <w:t>Program schedules, event data and telephone subscriber listings under the Database Directive: the spin-off doctrine in the Netherlands and elsewhere in Europe</w:t>
      </w:r>
      <w:r w:rsidR="003A08F7" w:rsidRPr="000A1145">
        <w:rPr>
          <w:rFonts w:ascii="Times New Roman" w:hAnsi="Times New Roman" w:cs="Times New Roman"/>
          <w:sz w:val="24"/>
          <w:szCs w:val="24"/>
        </w:rPr>
        <w:t xml:space="preserve">, Paper presented at the Fordham School of Law 11th Annual Conference on International Intellectual Property Law and Policy, 2003, available at </w:t>
      </w:r>
      <w:hyperlink r:id="rId14" w:history="1">
        <w:r w:rsidR="003A08F7" w:rsidRPr="000A1145">
          <w:rPr>
            <w:rStyle w:val="Hyperlink"/>
            <w:rFonts w:ascii="Times New Roman" w:hAnsi="Times New Roman" w:cs="Times New Roman"/>
            <w:sz w:val="24"/>
            <w:szCs w:val="24"/>
          </w:rPr>
          <w:t>https://www.ivir.nl/publicaties/download/spinofffordham.pdf</w:t>
        </w:r>
      </w:hyperlink>
      <w:r w:rsidR="003A08F7" w:rsidRPr="000A1145">
        <w:rPr>
          <w:rFonts w:ascii="Times New Roman" w:hAnsi="Times New Roman" w:cs="Times New Roman"/>
          <w:sz w:val="24"/>
          <w:szCs w:val="24"/>
        </w:rPr>
        <w:t>, last access</w:t>
      </w:r>
      <w:r w:rsidR="00D20F2E">
        <w:rPr>
          <w:rFonts w:ascii="Times New Roman" w:hAnsi="Times New Roman" w:cs="Times New Roman"/>
          <w:sz w:val="24"/>
          <w:szCs w:val="24"/>
        </w:rPr>
        <w:t>ed</w:t>
      </w:r>
      <w:r w:rsidR="003A08F7" w:rsidRPr="000A1145">
        <w:rPr>
          <w:rFonts w:ascii="Times New Roman" w:hAnsi="Times New Roman" w:cs="Times New Roman"/>
          <w:sz w:val="24"/>
          <w:szCs w:val="24"/>
        </w:rPr>
        <w:t xml:space="preserve"> 4 May 2020</w:t>
      </w:r>
      <w:r w:rsidR="00D20F2E">
        <w:rPr>
          <w:rFonts w:ascii="Times New Roman" w:hAnsi="Times New Roman" w:cs="Times New Roman"/>
          <w:sz w:val="24"/>
          <w:szCs w:val="24"/>
        </w:rPr>
        <w:t>.</w:t>
      </w:r>
    </w:p>
    <w:p w14:paraId="7A80632D" w14:textId="387B53A0" w:rsidR="003A08F7"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Leistner</w:t>
      </w:r>
      <w:proofErr w:type="spellEnd"/>
      <w:r>
        <w:rPr>
          <w:rFonts w:ascii="Times New Roman" w:hAnsi="Times New Roman" w:cs="Times New Roman"/>
          <w:sz w:val="24"/>
          <w:szCs w:val="24"/>
        </w:rPr>
        <w:t>,</w:t>
      </w:r>
      <w:r w:rsidR="003A08F7">
        <w:rPr>
          <w:rFonts w:ascii="Times New Roman" w:hAnsi="Times New Roman" w:cs="Times New Roman"/>
          <w:sz w:val="24"/>
          <w:szCs w:val="24"/>
        </w:rPr>
        <w:t xml:space="preserve"> </w:t>
      </w:r>
      <w:r w:rsidR="003A08F7">
        <w:rPr>
          <w:rFonts w:ascii="Times New Roman" w:hAnsi="Times New Roman" w:cs="Times New Roman"/>
          <w:i/>
          <w:sz w:val="24"/>
          <w:szCs w:val="24"/>
        </w:rPr>
        <w:t>Legal protection for the database maker: initial experience from a German point of view</w:t>
      </w:r>
      <w:r w:rsidR="003A08F7">
        <w:rPr>
          <w:rFonts w:ascii="Times New Roman" w:hAnsi="Times New Roman" w:cs="Times New Roman"/>
          <w:sz w:val="24"/>
          <w:szCs w:val="24"/>
        </w:rPr>
        <w:t xml:space="preserve">, in </w:t>
      </w:r>
      <w:r w:rsidR="003A08F7">
        <w:rPr>
          <w:rFonts w:ascii="Times New Roman" w:hAnsi="Times New Roman" w:cs="Times New Roman"/>
          <w:i/>
          <w:sz w:val="24"/>
          <w:szCs w:val="24"/>
        </w:rPr>
        <w:t>IIC</w:t>
      </w:r>
      <w:r>
        <w:rPr>
          <w:rFonts w:ascii="Times New Roman" w:hAnsi="Times New Roman" w:cs="Times New Roman"/>
          <w:sz w:val="24"/>
          <w:szCs w:val="24"/>
        </w:rPr>
        <w:t xml:space="preserve"> 2002,</w:t>
      </w:r>
      <w:r w:rsidR="003A08F7">
        <w:rPr>
          <w:rFonts w:ascii="Times New Roman" w:hAnsi="Times New Roman" w:cs="Times New Roman"/>
          <w:sz w:val="24"/>
          <w:szCs w:val="24"/>
        </w:rPr>
        <w:t xml:space="preserve"> 439 ff.</w:t>
      </w:r>
    </w:p>
    <w:p w14:paraId="2A69BBC5" w14:textId="240155B8" w:rsidR="003A08F7" w:rsidRDefault="000D6D3F" w:rsidP="003A08F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R. Marvin</w:t>
      </w:r>
      <w:r w:rsidR="003A08F7" w:rsidRPr="001F5A92">
        <w:rPr>
          <w:rFonts w:ascii="Times New Roman" w:hAnsi="Times New Roman" w:cs="Times New Roman"/>
          <w:sz w:val="24"/>
          <w:szCs w:val="24"/>
        </w:rPr>
        <w:t xml:space="preserve">, </w:t>
      </w:r>
      <w:r>
        <w:rPr>
          <w:rFonts w:ascii="Times New Roman" w:hAnsi="Times New Roman" w:cs="Times New Roman"/>
          <w:i/>
          <w:sz w:val="24"/>
          <w:szCs w:val="24"/>
        </w:rPr>
        <w:t>AI Databases, w</w:t>
      </w:r>
      <w:r w:rsidR="003A08F7">
        <w:rPr>
          <w:rFonts w:ascii="Times New Roman" w:hAnsi="Times New Roman" w:cs="Times New Roman"/>
          <w:i/>
          <w:sz w:val="24"/>
          <w:szCs w:val="24"/>
        </w:rPr>
        <w:t>hat they are and why your business should care</w:t>
      </w:r>
      <w:r w:rsidR="003A08F7">
        <w:rPr>
          <w:rFonts w:ascii="Times New Roman" w:hAnsi="Times New Roman" w:cs="Times New Roman"/>
          <w:sz w:val="24"/>
          <w:szCs w:val="24"/>
        </w:rPr>
        <w:t xml:space="preserve">, in </w:t>
      </w:r>
      <w:proofErr w:type="spellStart"/>
      <w:r w:rsidR="003A08F7">
        <w:rPr>
          <w:rFonts w:ascii="Times New Roman" w:hAnsi="Times New Roman" w:cs="Times New Roman"/>
          <w:i/>
          <w:sz w:val="24"/>
          <w:szCs w:val="24"/>
        </w:rPr>
        <w:t>PCMag</w:t>
      </w:r>
      <w:proofErr w:type="spellEnd"/>
      <w:r w:rsidR="003A08F7">
        <w:rPr>
          <w:rFonts w:ascii="Times New Roman" w:hAnsi="Times New Roman" w:cs="Times New Roman"/>
          <w:i/>
          <w:sz w:val="24"/>
          <w:szCs w:val="24"/>
        </w:rPr>
        <w:t xml:space="preserve"> UK</w:t>
      </w:r>
      <w:r w:rsidR="00D20F2E">
        <w:rPr>
          <w:rFonts w:ascii="Times New Roman" w:hAnsi="Times New Roman" w:cs="Times New Roman"/>
          <w:sz w:val="24"/>
          <w:szCs w:val="24"/>
        </w:rPr>
        <w:t xml:space="preserve">, </w:t>
      </w:r>
      <w:r w:rsidR="003A08F7">
        <w:rPr>
          <w:rFonts w:ascii="Times New Roman" w:hAnsi="Times New Roman" w:cs="Times New Roman"/>
          <w:sz w:val="24"/>
          <w:szCs w:val="24"/>
        </w:rPr>
        <w:t xml:space="preserve">26 October </w:t>
      </w:r>
      <w:r>
        <w:rPr>
          <w:rFonts w:ascii="Times New Roman" w:hAnsi="Times New Roman" w:cs="Times New Roman"/>
          <w:sz w:val="24"/>
          <w:szCs w:val="24"/>
        </w:rPr>
        <w:t>2017</w:t>
      </w:r>
      <w:r w:rsidR="00D20F2E">
        <w:rPr>
          <w:rFonts w:ascii="Times New Roman" w:hAnsi="Times New Roman" w:cs="Times New Roman"/>
          <w:sz w:val="24"/>
          <w:szCs w:val="24"/>
        </w:rPr>
        <w:t>,</w:t>
      </w:r>
      <w:r w:rsidR="003A08F7">
        <w:rPr>
          <w:rFonts w:ascii="Times New Roman" w:hAnsi="Times New Roman" w:cs="Times New Roman"/>
          <w:sz w:val="24"/>
          <w:szCs w:val="24"/>
        </w:rPr>
        <w:t xml:space="preserve"> available at</w:t>
      </w:r>
      <w:r w:rsidR="003A08F7" w:rsidRPr="001F5A92">
        <w:rPr>
          <w:rFonts w:ascii="Times New Roman" w:hAnsi="Times New Roman" w:cs="Times New Roman"/>
          <w:sz w:val="24"/>
          <w:szCs w:val="24"/>
        </w:rPr>
        <w:t xml:space="preserve"> </w:t>
      </w:r>
      <w:hyperlink r:id="rId15" w:history="1">
        <w:r w:rsidR="003A08F7" w:rsidRPr="00F5264B">
          <w:rPr>
            <w:rStyle w:val="Hyperlink"/>
            <w:rFonts w:ascii="Times New Roman" w:hAnsi="Times New Roman" w:cs="Times New Roman"/>
            <w:sz w:val="24"/>
            <w:szCs w:val="24"/>
          </w:rPr>
          <w:t>https://www.pcmag.com/news/ai-databases-what-they-are-and-why-your-business-should-care</w:t>
        </w:r>
      </w:hyperlink>
      <w:r w:rsidR="003A08F7">
        <w:rPr>
          <w:rFonts w:ascii="Times New Roman" w:hAnsi="Times New Roman" w:cs="Times New Roman"/>
          <w:sz w:val="24"/>
          <w:szCs w:val="24"/>
        </w:rPr>
        <w:t>, last access</w:t>
      </w:r>
      <w:r w:rsidR="00D20F2E">
        <w:rPr>
          <w:rFonts w:ascii="Times New Roman" w:hAnsi="Times New Roman" w:cs="Times New Roman"/>
          <w:sz w:val="24"/>
          <w:szCs w:val="24"/>
        </w:rPr>
        <w:t>ed</w:t>
      </w:r>
      <w:r w:rsidR="003A08F7">
        <w:rPr>
          <w:rFonts w:ascii="Times New Roman" w:hAnsi="Times New Roman" w:cs="Times New Roman"/>
          <w:sz w:val="24"/>
          <w:szCs w:val="24"/>
        </w:rPr>
        <w:t xml:space="preserve"> 29 April 2020</w:t>
      </w:r>
      <w:r w:rsidR="00D20F2E">
        <w:rPr>
          <w:rFonts w:ascii="Times New Roman" w:hAnsi="Times New Roman" w:cs="Times New Roman"/>
          <w:sz w:val="24"/>
          <w:szCs w:val="24"/>
        </w:rPr>
        <w:t>.</w:t>
      </w:r>
      <w:r w:rsidR="003A08F7" w:rsidRPr="001F5A92">
        <w:rPr>
          <w:rFonts w:ascii="Times New Roman" w:hAnsi="Times New Roman" w:cs="Times New Roman"/>
          <w:i/>
          <w:sz w:val="24"/>
          <w:szCs w:val="24"/>
        </w:rPr>
        <w:t xml:space="preserve"> </w:t>
      </w:r>
    </w:p>
    <w:p w14:paraId="35554950" w14:textId="4B915028" w:rsidR="003A08F7" w:rsidRPr="007679B2" w:rsidRDefault="000D6D3F"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McCarthy</w:t>
      </w:r>
      <w:r w:rsidR="003A08F7" w:rsidRPr="007679B2">
        <w:rPr>
          <w:rFonts w:ascii="Times New Roman" w:hAnsi="Times New Roman" w:cs="Times New Roman"/>
          <w:sz w:val="24"/>
          <w:szCs w:val="24"/>
        </w:rPr>
        <w:t xml:space="preserve">, </w:t>
      </w:r>
      <w:r w:rsidR="003A08F7" w:rsidRPr="007679B2">
        <w:rPr>
          <w:rFonts w:ascii="Times New Roman" w:hAnsi="Times New Roman" w:cs="Times New Roman"/>
          <w:i/>
          <w:sz w:val="24"/>
          <w:szCs w:val="24"/>
        </w:rPr>
        <w:t>A proposal for the Dartmouth Summer Research Program on Artificial Intelligence (31 August 1955)</w:t>
      </w:r>
      <w:r>
        <w:rPr>
          <w:rFonts w:ascii="Times New Roman" w:hAnsi="Times New Roman" w:cs="Times New Roman"/>
          <w:sz w:val="24"/>
          <w:szCs w:val="24"/>
        </w:rPr>
        <w:t xml:space="preserve">, available at </w:t>
      </w:r>
      <w:hyperlink r:id="rId16" w:history="1">
        <w:r w:rsidRPr="00AC001D">
          <w:rPr>
            <w:rStyle w:val="Hyperlink"/>
            <w:rFonts w:ascii="Times New Roman" w:hAnsi="Times New Roman" w:cs="Times New Roman"/>
            <w:sz w:val="24"/>
            <w:szCs w:val="24"/>
          </w:rPr>
          <w:t>https://www.aaai.org/ojs/index.php/aimagazine/article/view/1904/1802</w:t>
        </w:r>
      </w:hyperlink>
      <w:r w:rsidR="003A08F7" w:rsidRPr="007679B2">
        <w:rPr>
          <w:rFonts w:ascii="Times New Roman" w:hAnsi="Times New Roman" w:cs="Times New Roman"/>
          <w:sz w:val="24"/>
          <w:szCs w:val="24"/>
        </w:rPr>
        <w:t>, last access</w:t>
      </w:r>
      <w:r w:rsidR="00D20F2E">
        <w:rPr>
          <w:rFonts w:ascii="Times New Roman" w:hAnsi="Times New Roman" w:cs="Times New Roman"/>
          <w:sz w:val="24"/>
          <w:szCs w:val="24"/>
        </w:rPr>
        <w:t>ed</w:t>
      </w:r>
      <w:r w:rsidR="003A08F7" w:rsidRPr="007679B2">
        <w:rPr>
          <w:rFonts w:ascii="Times New Roman" w:hAnsi="Times New Roman" w:cs="Times New Roman"/>
          <w:sz w:val="24"/>
          <w:szCs w:val="24"/>
        </w:rPr>
        <w:t xml:space="preserve"> 29 April 2020.</w:t>
      </w:r>
    </w:p>
    <w:p w14:paraId="23EA4640" w14:textId="649C2E35" w:rsidR="003A08F7" w:rsidRPr="00E841AF" w:rsidRDefault="009B6433"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 McCarthy</w:t>
      </w:r>
      <w:r w:rsidR="003A08F7" w:rsidRPr="007679B2">
        <w:rPr>
          <w:rFonts w:ascii="Times New Roman" w:hAnsi="Times New Roman" w:cs="Times New Roman"/>
          <w:sz w:val="24"/>
          <w:szCs w:val="24"/>
        </w:rPr>
        <w:t xml:space="preserve">, </w:t>
      </w:r>
      <w:r w:rsidR="003A08F7" w:rsidRPr="007679B2">
        <w:rPr>
          <w:rFonts w:ascii="Times New Roman" w:hAnsi="Times New Roman" w:cs="Times New Roman"/>
          <w:i/>
          <w:sz w:val="24"/>
          <w:szCs w:val="24"/>
        </w:rPr>
        <w:t xml:space="preserve">What is Artificial </w:t>
      </w:r>
      <w:proofErr w:type="gramStart"/>
      <w:r w:rsidR="003A08F7" w:rsidRPr="007679B2">
        <w:rPr>
          <w:rFonts w:ascii="Times New Roman" w:hAnsi="Times New Roman" w:cs="Times New Roman"/>
          <w:i/>
          <w:sz w:val="24"/>
          <w:szCs w:val="24"/>
        </w:rPr>
        <w:t>Intelligence?</w:t>
      </w:r>
      <w:r w:rsidR="003A08F7" w:rsidRPr="007679B2">
        <w:rPr>
          <w:rFonts w:ascii="Times New Roman" w:hAnsi="Times New Roman" w:cs="Times New Roman"/>
          <w:sz w:val="24"/>
          <w:szCs w:val="24"/>
        </w:rPr>
        <w:t>,</w:t>
      </w:r>
      <w:proofErr w:type="gramEnd"/>
      <w:r w:rsidR="003A08F7" w:rsidRPr="007679B2">
        <w:rPr>
          <w:rFonts w:ascii="Times New Roman" w:hAnsi="Times New Roman" w:cs="Times New Roman"/>
          <w:sz w:val="24"/>
          <w:szCs w:val="24"/>
        </w:rPr>
        <w:t xml:space="preserve"> available at </w:t>
      </w:r>
      <w:hyperlink r:id="rId17" w:history="1">
        <w:r w:rsidRPr="00AC001D">
          <w:rPr>
            <w:rStyle w:val="Hyperlink"/>
            <w:rFonts w:ascii="Times New Roman" w:hAnsi="Times New Roman" w:cs="Times New Roman"/>
            <w:sz w:val="24"/>
            <w:szCs w:val="24"/>
          </w:rPr>
          <w:t>http://jmc.stanford.edu/articles/whatisai.html</w:t>
        </w:r>
      </w:hyperlink>
      <w:r w:rsidR="003A08F7" w:rsidRPr="007679B2">
        <w:rPr>
          <w:rFonts w:ascii="Times New Roman" w:hAnsi="Times New Roman" w:cs="Times New Roman"/>
          <w:sz w:val="24"/>
          <w:szCs w:val="24"/>
        </w:rPr>
        <w:t xml:space="preserve">, </w:t>
      </w:r>
      <w:r w:rsidR="003A08F7">
        <w:rPr>
          <w:rFonts w:ascii="Times New Roman" w:hAnsi="Times New Roman" w:cs="Times New Roman"/>
          <w:sz w:val="24"/>
          <w:szCs w:val="24"/>
        </w:rPr>
        <w:t>last access</w:t>
      </w:r>
      <w:r w:rsidR="00D20F2E">
        <w:rPr>
          <w:rFonts w:ascii="Times New Roman" w:hAnsi="Times New Roman" w:cs="Times New Roman"/>
          <w:sz w:val="24"/>
          <w:szCs w:val="24"/>
        </w:rPr>
        <w:t>ed</w:t>
      </w:r>
      <w:r w:rsidR="003A08F7">
        <w:rPr>
          <w:rFonts w:ascii="Times New Roman" w:hAnsi="Times New Roman" w:cs="Times New Roman"/>
          <w:sz w:val="24"/>
          <w:szCs w:val="24"/>
        </w:rPr>
        <w:t xml:space="preserve"> 29 April 2020</w:t>
      </w:r>
      <w:r w:rsidR="00D20F2E">
        <w:rPr>
          <w:rFonts w:ascii="Times New Roman" w:hAnsi="Times New Roman" w:cs="Times New Roman"/>
          <w:sz w:val="24"/>
          <w:szCs w:val="24"/>
        </w:rPr>
        <w:t>.</w:t>
      </w:r>
    </w:p>
    <w:p w14:paraId="6D95C3F6" w14:textId="5D51794F" w:rsidR="003A08F7" w:rsidRDefault="009B6433"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Noto La </w:t>
      </w:r>
      <w:proofErr w:type="spellStart"/>
      <w:r>
        <w:rPr>
          <w:rFonts w:ascii="Times New Roman" w:hAnsi="Times New Roman" w:cs="Times New Roman"/>
          <w:sz w:val="24"/>
          <w:szCs w:val="24"/>
        </w:rPr>
        <w:t>Diega</w:t>
      </w:r>
      <w:proofErr w:type="spellEnd"/>
      <w:r w:rsidR="003A08F7" w:rsidRPr="0081382C">
        <w:rPr>
          <w:rFonts w:ascii="Times New Roman" w:hAnsi="Times New Roman" w:cs="Times New Roman"/>
          <w:sz w:val="24"/>
          <w:szCs w:val="24"/>
        </w:rPr>
        <w:t xml:space="preserve">, </w:t>
      </w:r>
      <w:r w:rsidR="003A08F7" w:rsidRPr="0081382C">
        <w:rPr>
          <w:rFonts w:ascii="Times New Roman" w:hAnsi="Times New Roman" w:cs="Times New Roman"/>
          <w:i/>
          <w:sz w:val="24"/>
          <w:szCs w:val="24"/>
        </w:rPr>
        <w:t>Artificial Intelligence and databases in the age of big machine data</w:t>
      </w:r>
      <w:r w:rsidR="003A08F7" w:rsidRPr="0081382C">
        <w:rPr>
          <w:rFonts w:ascii="Times New Roman" w:hAnsi="Times New Roman" w:cs="Times New Roman"/>
          <w:sz w:val="24"/>
          <w:szCs w:val="24"/>
        </w:rPr>
        <w:t xml:space="preserve">, in </w:t>
      </w:r>
      <w:r w:rsidR="003A08F7" w:rsidRPr="000A1145">
        <w:rPr>
          <w:rFonts w:ascii="Times New Roman" w:hAnsi="Times New Roman" w:cs="Times New Roman"/>
          <w:i/>
          <w:sz w:val="24"/>
          <w:szCs w:val="24"/>
        </w:rPr>
        <w:t>AIDA</w:t>
      </w:r>
      <w:r w:rsidR="003A08F7" w:rsidRPr="0081382C">
        <w:rPr>
          <w:rFonts w:ascii="Times New Roman" w:hAnsi="Times New Roman" w:cs="Times New Roman"/>
          <w:sz w:val="24"/>
          <w:szCs w:val="24"/>
        </w:rPr>
        <w:t xml:space="preserve"> 2018, p</w:t>
      </w:r>
      <w:r w:rsidR="003A08F7">
        <w:rPr>
          <w:rFonts w:ascii="Times New Roman" w:hAnsi="Times New Roman" w:cs="Times New Roman"/>
          <w:sz w:val="24"/>
          <w:szCs w:val="24"/>
        </w:rPr>
        <w:t>p. 93 ff.</w:t>
      </w:r>
    </w:p>
    <w:p w14:paraId="0E871F3D" w14:textId="56A599E5" w:rsidR="00F278A1" w:rsidRPr="00F278A1" w:rsidRDefault="00F278A1" w:rsidP="003A08F7">
      <w:pPr>
        <w:spacing w:after="0" w:line="240" w:lineRule="auto"/>
        <w:jc w:val="both"/>
        <w:rPr>
          <w:rFonts w:ascii="Times New Roman" w:hAnsi="Times New Roman" w:cs="Times New Roman"/>
          <w:sz w:val="24"/>
          <w:szCs w:val="24"/>
        </w:rPr>
      </w:pPr>
      <w:r w:rsidRPr="00F278A1">
        <w:rPr>
          <w:rFonts w:ascii="Times New Roman" w:hAnsi="Times New Roman" w:cs="Times New Roman"/>
          <w:sz w:val="24"/>
          <w:szCs w:val="24"/>
        </w:rPr>
        <w:t xml:space="preserve">R. </w:t>
      </w:r>
      <w:proofErr w:type="spellStart"/>
      <w:r w:rsidRPr="00F278A1">
        <w:rPr>
          <w:rFonts w:ascii="Times New Roman" w:hAnsi="Times New Roman" w:cs="Times New Roman"/>
          <w:sz w:val="24"/>
          <w:szCs w:val="24"/>
        </w:rPr>
        <w:t>Fjelland</w:t>
      </w:r>
      <w:proofErr w:type="spellEnd"/>
      <w:r w:rsidRPr="00F278A1">
        <w:rPr>
          <w:rFonts w:ascii="Times New Roman" w:hAnsi="Times New Roman" w:cs="Times New Roman"/>
          <w:sz w:val="24"/>
          <w:szCs w:val="24"/>
        </w:rPr>
        <w:t xml:space="preserve">, </w:t>
      </w:r>
      <w:proofErr w:type="gramStart"/>
      <w:r w:rsidRPr="00F278A1">
        <w:rPr>
          <w:rFonts w:ascii="Times New Roman" w:hAnsi="Times New Roman" w:cs="Times New Roman"/>
          <w:i/>
          <w:sz w:val="24"/>
          <w:szCs w:val="24"/>
        </w:rPr>
        <w:t>Why</w:t>
      </w:r>
      <w:proofErr w:type="gramEnd"/>
      <w:r w:rsidRPr="00F278A1">
        <w:rPr>
          <w:rFonts w:ascii="Times New Roman" w:hAnsi="Times New Roman" w:cs="Times New Roman"/>
          <w:i/>
          <w:sz w:val="24"/>
          <w:szCs w:val="24"/>
        </w:rPr>
        <w:t xml:space="preserve"> general artificial intelligence will not be realized</w:t>
      </w:r>
      <w:r w:rsidRPr="00F278A1">
        <w:rPr>
          <w:rFonts w:ascii="Times New Roman" w:hAnsi="Times New Roman" w:cs="Times New Roman"/>
          <w:sz w:val="24"/>
          <w:szCs w:val="24"/>
        </w:rPr>
        <w:t xml:space="preserve">, in </w:t>
      </w:r>
      <w:proofErr w:type="spellStart"/>
      <w:r w:rsidRPr="00F278A1">
        <w:rPr>
          <w:rFonts w:ascii="Times New Roman" w:hAnsi="Times New Roman" w:cs="Times New Roman"/>
          <w:i/>
          <w:sz w:val="24"/>
          <w:szCs w:val="24"/>
        </w:rPr>
        <w:t>Humanit</w:t>
      </w:r>
      <w:proofErr w:type="spellEnd"/>
      <w:r w:rsidRPr="00F278A1">
        <w:rPr>
          <w:rFonts w:ascii="Times New Roman" w:hAnsi="Times New Roman" w:cs="Times New Roman"/>
          <w:i/>
          <w:sz w:val="24"/>
          <w:szCs w:val="24"/>
        </w:rPr>
        <w:t xml:space="preserve">. Soc. Sci. </w:t>
      </w:r>
      <w:proofErr w:type="spellStart"/>
      <w:r w:rsidRPr="00F278A1">
        <w:rPr>
          <w:rFonts w:ascii="Times New Roman" w:hAnsi="Times New Roman" w:cs="Times New Roman"/>
          <w:i/>
          <w:sz w:val="24"/>
          <w:szCs w:val="24"/>
        </w:rPr>
        <w:t>Commun</w:t>
      </w:r>
      <w:proofErr w:type="spellEnd"/>
      <w:r w:rsidRPr="00F278A1">
        <w:rPr>
          <w:rFonts w:ascii="Times New Roman" w:hAnsi="Times New Roman" w:cs="Times New Roman"/>
          <w:i/>
          <w:sz w:val="24"/>
          <w:szCs w:val="24"/>
        </w:rPr>
        <w:t>.</w:t>
      </w:r>
      <w:r w:rsidRPr="00F278A1">
        <w:rPr>
          <w:rFonts w:ascii="Times New Roman" w:hAnsi="Times New Roman" w:cs="Times New Roman"/>
          <w:sz w:val="24"/>
          <w:szCs w:val="24"/>
        </w:rPr>
        <w:t xml:space="preserve">, 2020, available at </w:t>
      </w:r>
      <w:hyperlink r:id="rId18" w:history="1">
        <w:r w:rsidRPr="00F278A1">
          <w:rPr>
            <w:rStyle w:val="Hyperlink"/>
            <w:rFonts w:ascii="Times New Roman" w:hAnsi="Times New Roman" w:cs="Times New Roman"/>
            <w:sz w:val="24"/>
            <w:szCs w:val="24"/>
          </w:rPr>
          <w:t>https://doi.org/10.1057/s41599-020-0494-4</w:t>
        </w:r>
      </w:hyperlink>
      <w:r w:rsidR="00D20F2E">
        <w:rPr>
          <w:rStyle w:val="Hyperlink"/>
          <w:rFonts w:ascii="Times New Roman" w:hAnsi="Times New Roman" w:cs="Times New Roman"/>
          <w:sz w:val="24"/>
          <w:szCs w:val="24"/>
        </w:rPr>
        <w:t>.</w:t>
      </w:r>
    </w:p>
    <w:p w14:paraId="258BB5D8" w14:textId="6C088A86" w:rsidR="003A08F7" w:rsidRPr="006F2378" w:rsidRDefault="009B6433" w:rsidP="009B6433">
      <w:pPr>
        <w:pStyle w:val="Nota"/>
        <w:rPr>
          <w:sz w:val="24"/>
        </w:rPr>
      </w:pPr>
      <w:r w:rsidRPr="006F2378">
        <w:rPr>
          <w:sz w:val="24"/>
        </w:rPr>
        <w:t xml:space="preserve">L. </w:t>
      </w:r>
      <w:proofErr w:type="spellStart"/>
      <w:r w:rsidRPr="006F2378">
        <w:rPr>
          <w:sz w:val="24"/>
        </w:rPr>
        <w:t>Trapman</w:t>
      </w:r>
      <w:proofErr w:type="spellEnd"/>
      <w:r w:rsidR="003A08F7" w:rsidRPr="006F2378">
        <w:rPr>
          <w:sz w:val="24"/>
        </w:rPr>
        <w:t xml:space="preserve">, </w:t>
      </w:r>
      <w:r w:rsidRPr="006F2378">
        <w:rPr>
          <w:i/>
          <w:sz w:val="24"/>
        </w:rPr>
        <w:t>Pearson v. Ba</w:t>
      </w:r>
      <w:r w:rsidR="003A08F7" w:rsidRPr="006F2378">
        <w:rPr>
          <w:i/>
          <w:sz w:val="24"/>
        </w:rPr>
        <w:t>r Software: on the use of unprotected databases</w:t>
      </w:r>
      <w:r w:rsidR="003A08F7" w:rsidRPr="006F2378">
        <w:rPr>
          <w:sz w:val="24"/>
        </w:rPr>
        <w:t xml:space="preserve">, available at </w:t>
      </w:r>
      <w:hyperlink r:id="rId19" w:history="1">
        <w:r w:rsidR="003A08F7" w:rsidRPr="006F2378">
          <w:rPr>
            <w:rStyle w:val="Hyperlink"/>
            <w:sz w:val="24"/>
          </w:rPr>
          <w:t>http://copyrightblog.kluweriplaw.com/2017/01/31/pearson-v-bar-software-use-unprotected-databases/</w:t>
        </w:r>
      </w:hyperlink>
      <w:r w:rsidR="003A08F7" w:rsidRPr="006F2378">
        <w:rPr>
          <w:sz w:val="24"/>
        </w:rPr>
        <w:t>, last access</w:t>
      </w:r>
      <w:r w:rsidR="00D20F2E">
        <w:rPr>
          <w:sz w:val="24"/>
        </w:rPr>
        <w:t>ed</w:t>
      </w:r>
      <w:r w:rsidR="003A08F7" w:rsidRPr="006F2378">
        <w:rPr>
          <w:sz w:val="24"/>
        </w:rPr>
        <w:t xml:space="preserve"> 9 May 2020</w:t>
      </w:r>
      <w:r w:rsidR="00D20F2E">
        <w:rPr>
          <w:sz w:val="24"/>
        </w:rPr>
        <w:t>.</w:t>
      </w:r>
      <w:r w:rsidR="003A08F7" w:rsidRPr="006F2378">
        <w:rPr>
          <w:sz w:val="24"/>
        </w:rPr>
        <w:t xml:space="preserve"> </w:t>
      </w:r>
    </w:p>
    <w:p w14:paraId="7BCBF482" w14:textId="7559D280" w:rsidR="003A08F7" w:rsidRDefault="009B6433"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sidR="003A08F7" w:rsidRPr="00042ECD">
        <w:rPr>
          <w:rFonts w:ascii="Times New Roman" w:hAnsi="Times New Roman" w:cs="Times New Roman"/>
          <w:sz w:val="24"/>
          <w:szCs w:val="24"/>
        </w:rPr>
        <w:t>W</w:t>
      </w:r>
      <w:r>
        <w:rPr>
          <w:rFonts w:ascii="Times New Roman" w:hAnsi="Times New Roman" w:cs="Times New Roman"/>
          <w:sz w:val="24"/>
          <w:szCs w:val="24"/>
        </w:rPr>
        <w:t>estkamp</w:t>
      </w:r>
      <w:proofErr w:type="spellEnd"/>
      <w:r w:rsidR="003A08F7" w:rsidRPr="00042ECD">
        <w:rPr>
          <w:rFonts w:ascii="Times New Roman" w:hAnsi="Times New Roman" w:cs="Times New Roman"/>
          <w:sz w:val="24"/>
          <w:szCs w:val="24"/>
        </w:rPr>
        <w:t xml:space="preserve">, </w:t>
      </w:r>
      <w:r>
        <w:rPr>
          <w:rFonts w:ascii="Times New Roman" w:hAnsi="Times New Roman" w:cs="Times New Roman"/>
          <w:i/>
          <w:sz w:val="24"/>
          <w:szCs w:val="24"/>
        </w:rPr>
        <w:t>EU Database protection for information uses under an intellectual property scheme: has the time a</w:t>
      </w:r>
      <w:r w:rsidR="003A08F7" w:rsidRPr="00042ECD">
        <w:rPr>
          <w:rFonts w:ascii="Times New Roman" w:hAnsi="Times New Roman" w:cs="Times New Roman"/>
          <w:i/>
          <w:sz w:val="24"/>
          <w:szCs w:val="24"/>
        </w:rPr>
        <w:t>rrived</w:t>
      </w:r>
      <w:r w:rsidR="003A08F7" w:rsidRPr="00042ECD">
        <w:rPr>
          <w:rFonts w:ascii="Times New Roman" w:hAnsi="Times New Roman" w:cs="Times New Roman"/>
          <w:sz w:val="24"/>
          <w:szCs w:val="24"/>
        </w:rPr>
        <w:t xml:space="preserve"> </w:t>
      </w:r>
      <w:r>
        <w:rPr>
          <w:rFonts w:ascii="Times New Roman" w:hAnsi="Times New Roman" w:cs="Times New Roman"/>
          <w:i/>
          <w:sz w:val="24"/>
          <w:szCs w:val="24"/>
        </w:rPr>
        <w:t>for a flexible a</w:t>
      </w:r>
      <w:r w:rsidR="003A08F7" w:rsidRPr="00042ECD">
        <w:rPr>
          <w:rFonts w:ascii="Times New Roman" w:hAnsi="Times New Roman" w:cs="Times New Roman"/>
          <w:i/>
          <w:sz w:val="24"/>
          <w:szCs w:val="24"/>
        </w:rPr>
        <w:t xml:space="preserve">ssessment of the European Database </w:t>
      </w:r>
      <w:proofErr w:type="gramStart"/>
      <w:r w:rsidR="003A08F7" w:rsidRPr="00042ECD">
        <w:rPr>
          <w:rFonts w:ascii="Times New Roman" w:hAnsi="Times New Roman" w:cs="Times New Roman"/>
          <w:i/>
          <w:sz w:val="24"/>
          <w:szCs w:val="24"/>
        </w:rPr>
        <w:t>Directive?</w:t>
      </w:r>
      <w:r w:rsidR="003A08F7" w:rsidRPr="00042ECD">
        <w:rPr>
          <w:rFonts w:ascii="Times New Roman" w:hAnsi="Times New Roman" w:cs="Times New Roman"/>
          <w:sz w:val="24"/>
          <w:szCs w:val="24"/>
        </w:rPr>
        <w:t>,</w:t>
      </w:r>
      <w:proofErr w:type="gramEnd"/>
      <w:r w:rsidR="003A08F7" w:rsidRPr="00042ECD">
        <w:rPr>
          <w:rFonts w:ascii="Times New Roman" w:hAnsi="Times New Roman" w:cs="Times New Roman"/>
          <w:sz w:val="24"/>
          <w:szCs w:val="24"/>
        </w:rPr>
        <w:t xml:space="preserve"> Paper presented at the Fordham School of Law 11th Annual Conference on International Intellectual Property Law and Policy, 2003, available at </w:t>
      </w:r>
      <w:hyperlink r:id="rId20" w:history="1">
        <w:r w:rsidR="003A08F7" w:rsidRPr="00042ECD">
          <w:rPr>
            <w:rStyle w:val="Hyperlink"/>
            <w:rFonts w:ascii="Times New Roman" w:hAnsi="Times New Roman" w:cs="Times New Roman"/>
            <w:sz w:val="24"/>
            <w:szCs w:val="24"/>
          </w:rPr>
          <w:t>https://ssrn.com/abstract=1115432</w:t>
        </w:r>
      </w:hyperlink>
      <w:r w:rsidR="003A08F7" w:rsidRPr="00042ECD">
        <w:rPr>
          <w:rFonts w:ascii="Times New Roman" w:hAnsi="Times New Roman" w:cs="Times New Roman"/>
          <w:sz w:val="24"/>
          <w:szCs w:val="24"/>
        </w:rPr>
        <w:t>, last access</w:t>
      </w:r>
      <w:r w:rsidR="00D20F2E">
        <w:rPr>
          <w:rFonts w:ascii="Times New Roman" w:hAnsi="Times New Roman" w:cs="Times New Roman"/>
          <w:sz w:val="24"/>
          <w:szCs w:val="24"/>
        </w:rPr>
        <w:t>ed</w:t>
      </w:r>
      <w:r w:rsidR="003A08F7" w:rsidRPr="00042ECD">
        <w:rPr>
          <w:rFonts w:ascii="Times New Roman" w:hAnsi="Times New Roman" w:cs="Times New Roman"/>
          <w:sz w:val="24"/>
          <w:szCs w:val="24"/>
        </w:rPr>
        <w:t xml:space="preserve"> 5 May</w:t>
      </w:r>
      <w:r w:rsidR="003A08F7">
        <w:rPr>
          <w:rFonts w:ascii="Times New Roman" w:hAnsi="Times New Roman" w:cs="Times New Roman"/>
          <w:sz w:val="24"/>
          <w:szCs w:val="24"/>
        </w:rPr>
        <w:t xml:space="preserve"> 2020</w:t>
      </w:r>
      <w:r w:rsidR="00D20F2E">
        <w:rPr>
          <w:rFonts w:ascii="Times New Roman" w:hAnsi="Times New Roman" w:cs="Times New Roman"/>
          <w:sz w:val="24"/>
          <w:szCs w:val="24"/>
        </w:rPr>
        <w:t>.</w:t>
      </w:r>
    </w:p>
    <w:p w14:paraId="5A7025A6" w14:textId="5B293191" w:rsidR="003A08F7" w:rsidRPr="0007510A" w:rsidRDefault="009B6433" w:rsidP="003A08F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Westkamp</w:t>
      </w:r>
      <w:proofErr w:type="spellEnd"/>
      <w:r w:rsidR="003A08F7" w:rsidRPr="0007510A">
        <w:rPr>
          <w:rFonts w:ascii="Times New Roman" w:hAnsi="Times New Roman" w:cs="Times New Roman"/>
          <w:sz w:val="24"/>
          <w:szCs w:val="24"/>
        </w:rPr>
        <w:t xml:space="preserve">, </w:t>
      </w:r>
      <w:r w:rsidR="003A08F7" w:rsidRPr="0007510A">
        <w:rPr>
          <w:rFonts w:ascii="Times New Roman" w:hAnsi="Times New Roman" w:cs="Times New Roman"/>
          <w:i/>
          <w:sz w:val="24"/>
          <w:szCs w:val="24"/>
        </w:rPr>
        <w:t xml:space="preserve">Protecting </w:t>
      </w:r>
      <w:proofErr w:type="spellStart"/>
      <w:r w:rsidR="003A08F7" w:rsidRPr="0007510A">
        <w:rPr>
          <w:rFonts w:ascii="Times New Roman" w:hAnsi="Times New Roman" w:cs="Times New Roman"/>
          <w:i/>
          <w:sz w:val="24"/>
          <w:szCs w:val="24"/>
        </w:rPr>
        <w:t>databasases</w:t>
      </w:r>
      <w:proofErr w:type="spellEnd"/>
      <w:r w:rsidR="003A08F7" w:rsidRPr="0007510A">
        <w:rPr>
          <w:rFonts w:ascii="Times New Roman" w:hAnsi="Times New Roman" w:cs="Times New Roman"/>
          <w:i/>
          <w:sz w:val="24"/>
          <w:szCs w:val="24"/>
        </w:rPr>
        <w:t xml:space="preserve"> under US and European law – methodical approaches to the protection of investments between unfair competition and intellectual property concepts</w:t>
      </w:r>
      <w:r w:rsidR="003A08F7" w:rsidRPr="0007510A">
        <w:rPr>
          <w:rFonts w:ascii="Times New Roman" w:hAnsi="Times New Roman" w:cs="Times New Roman"/>
          <w:sz w:val="24"/>
          <w:szCs w:val="24"/>
        </w:rPr>
        <w:t xml:space="preserve">, in </w:t>
      </w:r>
      <w:r w:rsidR="003A08F7" w:rsidRPr="0007510A">
        <w:rPr>
          <w:rFonts w:ascii="Times New Roman" w:hAnsi="Times New Roman" w:cs="Times New Roman"/>
          <w:i/>
          <w:sz w:val="24"/>
          <w:szCs w:val="24"/>
        </w:rPr>
        <w:t>IIC</w:t>
      </w:r>
      <w:r w:rsidR="0032458C">
        <w:rPr>
          <w:rFonts w:ascii="Times New Roman" w:hAnsi="Times New Roman" w:cs="Times New Roman"/>
          <w:sz w:val="24"/>
          <w:szCs w:val="24"/>
        </w:rPr>
        <w:t xml:space="preserve"> 2003, </w:t>
      </w:r>
      <w:r w:rsidR="003A08F7" w:rsidRPr="0007510A">
        <w:rPr>
          <w:rFonts w:ascii="Times New Roman" w:hAnsi="Times New Roman" w:cs="Times New Roman"/>
          <w:sz w:val="24"/>
          <w:szCs w:val="24"/>
        </w:rPr>
        <w:t>772 ff.</w:t>
      </w:r>
    </w:p>
    <w:p w14:paraId="1B61260D" w14:textId="77777777" w:rsidR="003A08F7" w:rsidRPr="003D079C" w:rsidRDefault="003A08F7" w:rsidP="003A08F7">
      <w:pPr>
        <w:tabs>
          <w:tab w:val="left" w:pos="8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8FD84E7" w14:textId="77777777" w:rsidR="003A08F7" w:rsidRPr="0024544E" w:rsidRDefault="003A08F7" w:rsidP="003A08F7">
      <w:pPr>
        <w:spacing w:after="0" w:line="240" w:lineRule="auto"/>
        <w:jc w:val="both"/>
        <w:rPr>
          <w:rFonts w:ascii="Times New Roman" w:hAnsi="Times New Roman" w:cs="Times New Roman"/>
          <w:b/>
          <w:sz w:val="24"/>
          <w:szCs w:val="24"/>
        </w:rPr>
      </w:pPr>
      <w:r w:rsidRPr="0024544E">
        <w:rPr>
          <w:rFonts w:ascii="Times New Roman" w:hAnsi="Times New Roman" w:cs="Times New Roman"/>
          <w:b/>
          <w:sz w:val="24"/>
          <w:szCs w:val="24"/>
        </w:rPr>
        <w:t>Laws and Treaties</w:t>
      </w:r>
    </w:p>
    <w:p w14:paraId="30E09D5C" w14:textId="77777777" w:rsidR="003A08F7" w:rsidRPr="0024544E" w:rsidRDefault="003A08F7" w:rsidP="003A08F7">
      <w:pPr>
        <w:spacing w:after="0" w:line="240" w:lineRule="auto"/>
        <w:jc w:val="both"/>
        <w:rPr>
          <w:rFonts w:ascii="Times New Roman" w:hAnsi="Times New Roman" w:cs="Times New Roman"/>
          <w:b/>
          <w:sz w:val="24"/>
          <w:szCs w:val="24"/>
        </w:rPr>
      </w:pPr>
    </w:p>
    <w:p w14:paraId="3401AD9C" w14:textId="11ED7A21" w:rsidR="003A08F7" w:rsidRDefault="003A08F7" w:rsidP="003A08F7">
      <w:pPr>
        <w:spacing w:after="0" w:line="240" w:lineRule="auto"/>
        <w:jc w:val="both"/>
        <w:rPr>
          <w:rFonts w:ascii="Times New Roman" w:hAnsi="Times New Roman" w:cs="Times New Roman"/>
          <w:sz w:val="24"/>
          <w:szCs w:val="24"/>
        </w:rPr>
      </w:pPr>
      <w:r w:rsidRPr="0024544E">
        <w:rPr>
          <w:rFonts w:ascii="Times New Roman" w:hAnsi="Times New Roman" w:cs="Times New Roman"/>
          <w:sz w:val="24"/>
          <w:szCs w:val="24"/>
        </w:rPr>
        <w:t>Directive 96/9/EC of the European Parliament and of the Council of 11 March 1996 on the legal protection of databases, 1996, OJ L 77/20</w:t>
      </w:r>
      <w:r w:rsidR="00D20F2E">
        <w:rPr>
          <w:rFonts w:ascii="Times New Roman" w:hAnsi="Times New Roman" w:cs="Times New Roman"/>
          <w:sz w:val="24"/>
          <w:szCs w:val="24"/>
        </w:rPr>
        <w:t>.</w:t>
      </w:r>
    </w:p>
    <w:p w14:paraId="3F6E15AF" w14:textId="5E7300C1" w:rsidR="003A08F7" w:rsidRDefault="003A08F7" w:rsidP="003A08F7">
      <w:pPr>
        <w:spacing w:after="0" w:line="240" w:lineRule="auto"/>
        <w:jc w:val="both"/>
        <w:rPr>
          <w:rFonts w:ascii="Times New Roman" w:hAnsi="Times New Roman" w:cs="Times New Roman"/>
          <w:sz w:val="24"/>
          <w:szCs w:val="24"/>
        </w:rPr>
      </w:pPr>
      <w:r w:rsidRPr="004122BB">
        <w:rPr>
          <w:rFonts w:ascii="Times New Roman" w:hAnsi="Times New Roman" w:cs="Times New Roman"/>
          <w:sz w:val="24"/>
          <w:szCs w:val="24"/>
        </w:rPr>
        <w:t>Directive 2001/29/EC of the European Parliament and of the Council of 22 May 2001 on the harmonization of certain aspects of copyright and related rights in the information society</w:t>
      </w:r>
      <w:r>
        <w:rPr>
          <w:rFonts w:ascii="Times New Roman" w:hAnsi="Times New Roman" w:cs="Times New Roman"/>
          <w:sz w:val="24"/>
          <w:szCs w:val="24"/>
        </w:rPr>
        <w:t>, 2001, OJ L 167/10</w:t>
      </w:r>
      <w:r w:rsidR="00D20F2E">
        <w:rPr>
          <w:rFonts w:ascii="Times New Roman" w:hAnsi="Times New Roman" w:cs="Times New Roman"/>
          <w:sz w:val="24"/>
          <w:szCs w:val="24"/>
        </w:rPr>
        <w:t>.</w:t>
      </w:r>
    </w:p>
    <w:p w14:paraId="7D42B682" w14:textId="77777777" w:rsidR="003A08F7" w:rsidRPr="0024544E" w:rsidRDefault="003A08F7" w:rsidP="003A08F7">
      <w:pPr>
        <w:spacing w:after="0" w:line="240" w:lineRule="auto"/>
        <w:jc w:val="both"/>
        <w:rPr>
          <w:rFonts w:ascii="Times New Roman" w:hAnsi="Times New Roman" w:cs="Times New Roman"/>
          <w:sz w:val="24"/>
          <w:szCs w:val="24"/>
        </w:rPr>
      </w:pPr>
      <w:r w:rsidRPr="003B531E">
        <w:rPr>
          <w:rFonts w:ascii="Times New Roman" w:hAnsi="Times New Roman" w:cs="Times New Roman"/>
          <w:sz w:val="24"/>
          <w:szCs w:val="24"/>
        </w:rPr>
        <w:t>Directive (EU) 2019/790 of the European Parliament and of the Council of 17 April 2019 on copyright and related rights in the Digital Single Market and amending Directives 96/9/EC and 2001/29/EC, 2019, OJ L 130/92.</w:t>
      </w:r>
    </w:p>
    <w:p w14:paraId="03609490" w14:textId="77777777" w:rsidR="003A08F7" w:rsidRPr="0024544E" w:rsidRDefault="003A08F7" w:rsidP="003A08F7">
      <w:pPr>
        <w:spacing w:after="0" w:line="240" w:lineRule="auto"/>
        <w:jc w:val="both"/>
        <w:rPr>
          <w:rFonts w:ascii="Times New Roman" w:hAnsi="Times New Roman" w:cs="Times New Roman"/>
          <w:sz w:val="24"/>
          <w:szCs w:val="24"/>
        </w:rPr>
      </w:pPr>
    </w:p>
    <w:p w14:paraId="2B300B31" w14:textId="77777777" w:rsidR="003A08F7" w:rsidRPr="0024544E" w:rsidRDefault="003A08F7" w:rsidP="003A08F7">
      <w:pPr>
        <w:spacing w:after="0" w:line="240" w:lineRule="auto"/>
        <w:jc w:val="both"/>
        <w:rPr>
          <w:rFonts w:ascii="Times New Roman" w:hAnsi="Times New Roman" w:cs="Times New Roman"/>
          <w:b/>
          <w:sz w:val="24"/>
          <w:szCs w:val="24"/>
        </w:rPr>
      </w:pPr>
      <w:r w:rsidRPr="0024544E">
        <w:rPr>
          <w:rFonts w:ascii="Times New Roman" w:hAnsi="Times New Roman" w:cs="Times New Roman"/>
          <w:b/>
          <w:sz w:val="24"/>
          <w:szCs w:val="24"/>
        </w:rPr>
        <w:t>Cases</w:t>
      </w:r>
    </w:p>
    <w:p w14:paraId="6D2A1716" w14:textId="77777777" w:rsidR="003A08F7" w:rsidRPr="0024544E" w:rsidRDefault="003A08F7" w:rsidP="003A08F7">
      <w:pPr>
        <w:spacing w:after="0" w:line="240" w:lineRule="auto"/>
        <w:jc w:val="both"/>
        <w:rPr>
          <w:rFonts w:ascii="Times New Roman" w:hAnsi="Times New Roman" w:cs="Times New Roman"/>
          <w:b/>
          <w:sz w:val="24"/>
          <w:szCs w:val="24"/>
        </w:rPr>
      </w:pPr>
    </w:p>
    <w:p w14:paraId="02C4A15B" w14:textId="77777777" w:rsidR="003A08F7" w:rsidRPr="0024544E" w:rsidRDefault="003A08F7" w:rsidP="003A08F7">
      <w:pPr>
        <w:spacing w:after="0" w:line="240" w:lineRule="auto"/>
        <w:jc w:val="both"/>
        <w:rPr>
          <w:rFonts w:ascii="Times New Roman" w:hAnsi="Times New Roman" w:cs="Times New Roman"/>
          <w:sz w:val="24"/>
          <w:szCs w:val="24"/>
          <w:u w:val="single"/>
        </w:rPr>
      </w:pPr>
      <w:r w:rsidRPr="0024544E">
        <w:rPr>
          <w:rFonts w:ascii="Times New Roman" w:hAnsi="Times New Roman" w:cs="Times New Roman"/>
          <w:sz w:val="24"/>
          <w:szCs w:val="24"/>
          <w:u w:val="single"/>
        </w:rPr>
        <w:t>European Court of Justice</w:t>
      </w:r>
    </w:p>
    <w:p w14:paraId="4C6EC4FF" w14:textId="77777777" w:rsidR="003A08F7" w:rsidRPr="0024544E" w:rsidRDefault="003A08F7" w:rsidP="003A08F7">
      <w:pPr>
        <w:spacing w:after="0" w:line="240" w:lineRule="auto"/>
        <w:jc w:val="both"/>
        <w:rPr>
          <w:rFonts w:ascii="Times New Roman" w:hAnsi="Times New Roman" w:cs="Times New Roman"/>
          <w:sz w:val="24"/>
          <w:szCs w:val="24"/>
          <w:u w:val="single"/>
        </w:rPr>
      </w:pPr>
    </w:p>
    <w:p w14:paraId="50885988" w14:textId="11C74F74" w:rsidR="003A08F7" w:rsidRPr="0024544E" w:rsidRDefault="003A08F7" w:rsidP="003A08F7">
      <w:pPr>
        <w:spacing w:after="0" w:line="240" w:lineRule="auto"/>
        <w:jc w:val="both"/>
        <w:rPr>
          <w:rFonts w:ascii="Times New Roman" w:hAnsi="Times New Roman" w:cs="Times New Roman"/>
          <w:color w:val="000000"/>
          <w:sz w:val="24"/>
          <w:szCs w:val="24"/>
          <w:shd w:val="clear" w:color="auto" w:fill="FFFFFF"/>
        </w:rPr>
      </w:pPr>
      <w:r w:rsidRPr="0024544E">
        <w:rPr>
          <w:rFonts w:ascii="Times New Roman" w:hAnsi="Times New Roman" w:cs="Times New Roman"/>
          <w:sz w:val="24"/>
          <w:szCs w:val="24"/>
        </w:rPr>
        <w:t>European Court of Justice</w:t>
      </w:r>
      <w:r>
        <w:rPr>
          <w:rFonts w:ascii="Times New Roman" w:hAnsi="Times New Roman" w:cs="Times New Roman"/>
          <w:sz w:val="24"/>
          <w:szCs w:val="24"/>
        </w:rPr>
        <w:t>,</w:t>
      </w:r>
      <w:r w:rsidR="0032458C">
        <w:rPr>
          <w:rFonts w:ascii="Times New Roman" w:hAnsi="Times New Roman" w:cs="Times New Roman"/>
          <w:sz w:val="24"/>
          <w:szCs w:val="24"/>
        </w:rPr>
        <w:t xml:space="preserve"> </w:t>
      </w:r>
      <w:r w:rsidR="00D20F2E">
        <w:rPr>
          <w:rFonts w:ascii="Times New Roman" w:hAnsi="Times New Roman" w:cs="Times New Roman"/>
          <w:sz w:val="24"/>
          <w:szCs w:val="24"/>
        </w:rPr>
        <w:t>9 N</w:t>
      </w:r>
      <w:r w:rsidR="0032458C">
        <w:rPr>
          <w:rFonts w:ascii="Times New Roman" w:hAnsi="Times New Roman" w:cs="Times New Roman"/>
          <w:sz w:val="24"/>
          <w:szCs w:val="24"/>
        </w:rPr>
        <w:t>ovember 2004</w:t>
      </w:r>
      <w:r w:rsidRPr="0024544E">
        <w:rPr>
          <w:rFonts w:ascii="Times New Roman" w:hAnsi="Times New Roman" w:cs="Times New Roman"/>
          <w:sz w:val="24"/>
          <w:szCs w:val="24"/>
        </w:rPr>
        <w:t xml:space="preserve"> case C-203/02, British Horseracing Board v. William Hill Organization,</w:t>
      </w:r>
      <w:r>
        <w:rPr>
          <w:rFonts w:ascii="Times New Roman" w:hAnsi="Times New Roman" w:cs="Times New Roman"/>
          <w:sz w:val="24"/>
          <w:szCs w:val="24"/>
        </w:rPr>
        <w:t xml:space="preserve"> </w:t>
      </w:r>
      <w:r w:rsidR="00D20F2E">
        <w:rPr>
          <w:rFonts w:ascii="Times New Roman" w:hAnsi="Times New Roman" w:cs="Times New Roman"/>
          <w:sz w:val="24"/>
          <w:szCs w:val="24"/>
        </w:rPr>
        <w:t>“</w:t>
      </w:r>
      <w:r w:rsidRPr="0024544E">
        <w:rPr>
          <w:rFonts w:ascii="Times New Roman" w:hAnsi="Times New Roman" w:cs="Times New Roman"/>
          <w:sz w:val="24"/>
          <w:szCs w:val="24"/>
        </w:rPr>
        <w:t>British Horseracing</w:t>
      </w:r>
      <w:r w:rsidR="00D20F2E">
        <w:rPr>
          <w:rFonts w:ascii="Times New Roman" w:hAnsi="Times New Roman" w:cs="Times New Roman"/>
          <w:sz w:val="24"/>
          <w:szCs w:val="24"/>
        </w:rPr>
        <w:t xml:space="preserve"> case”</w:t>
      </w:r>
      <w:r w:rsidR="00D20F2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14:paraId="19DFA0A8" w14:textId="760D60D4" w:rsidR="003A08F7" w:rsidRPr="0024544E" w:rsidRDefault="003A08F7" w:rsidP="003A08F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European Court of Justice,</w:t>
      </w:r>
      <w:r w:rsidR="0032458C">
        <w:rPr>
          <w:rFonts w:ascii="Times New Roman" w:hAnsi="Times New Roman" w:cs="Times New Roman"/>
          <w:sz w:val="24"/>
          <w:szCs w:val="24"/>
        </w:rPr>
        <w:t xml:space="preserve"> </w:t>
      </w:r>
      <w:r w:rsidR="00D20F2E">
        <w:rPr>
          <w:rFonts w:ascii="Times New Roman" w:hAnsi="Times New Roman" w:cs="Times New Roman"/>
          <w:sz w:val="24"/>
          <w:szCs w:val="24"/>
        </w:rPr>
        <w:t xml:space="preserve">9 </w:t>
      </w:r>
      <w:r w:rsidR="0032458C">
        <w:rPr>
          <w:rFonts w:ascii="Times New Roman" w:hAnsi="Times New Roman" w:cs="Times New Roman"/>
          <w:sz w:val="24"/>
          <w:szCs w:val="24"/>
        </w:rPr>
        <w:t>November 2004,</w:t>
      </w:r>
      <w:r>
        <w:rPr>
          <w:rFonts w:ascii="Times New Roman" w:hAnsi="Times New Roman" w:cs="Times New Roman"/>
          <w:sz w:val="24"/>
          <w:szCs w:val="24"/>
        </w:rPr>
        <w:t xml:space="preserve"> </w:t>
      </w:r>
      <w:r w:rsidRPr="0024544E">
        <w:rPr>
          <w:rFonts w:ascii="Times New Roman" w:hAnsi="Times New Roman" w:cs="Times New Roman"/>
          <w:sz w:val="24"/>
          <w:szCs w:val="24"/>
        </w:rPr>
        <w:t xml:space="preserve">case C- 338/02, Fixtures Marketing v. Svenska </w:t>
      </w:r>
      <w:proofErr w:type="spellStart"/>
      <w:r w:rsidRPr="0024544E">
        <w:rPr>
          <w:rFonts w:ascii="Times New Roman" w:hAnsi="Times New Roman" w:cs="Times New Roman"/>
          <w:sz w:val="24"/>
          <w:szCs w:val="24"/>
        </w:rPr>
        <w:t>Spel</w:t>
      </w:r>
      <w:proofErr w:type="spellEnd"/>
      <w:r w:rsidRPr="0024544E">
        <w:rPr>
          <w:rFonts w:ascii="Times New Roman" w:hAnsi="Times New Roman" w:cs="Times New Roman"/>
          <w:sz w:val="24"/>
          <w:szCs w:val="24"/>
        </w:rPr>
        <w:t xml:space="preserve">, </w:t>
      </w:r>
      <w:r w:rsidR="00D20F2E">
        <w:rPr>
          <w:rFonts w:ascii="Times New Roman" w:hAnsi="Times New Roman" w:cs="Times New Roman"/>
          <w:sz w:val="24"/>
          <w:szCs w:val="24"/>
        </w:rPr>
        <w:t>“</w:t>
      </w:r>
      <w:r w:rsidRPr="0024544E">
        <w:rPr>
          <w:rFonts w:ascii="Times New Roman" w:hAnsi="Times New Roman" w:cs="Times New Roman"/>
          <w:sz w:val="24"/>
          <w:szCs w:val="24"/>
        </w:rPr>
        <w:t>Fixtures-Svenska</w:t>
      </w:r>
      <w:r w:rsidR="00D20F2E">
        <w:rPr>
          <w:rFonts w:ascii="Times New Roman" w:hAnsi="Times New Roman" w:cs="Times New Roman"/>
          <w:sz w:val="24"/>
          <w:szCs w:val="24"/>
        </w:rPr>
        <w:t xml:space="preserve"> case”.</w:t>
      </w:r>
    </w:p>
    <w:p w14:paraId="3323163D" w14:textId="5859114C" w:rsidR="003A08F7" w:rsidRPr="0024544E" w:rsidRDefault="003A08F7" w:rsidP="003A08F7">
      <w:pPr>
        <w:spacing w:after="0" w:line="240" w:lineRule="auto"/>
        <w:jc w:val="both"/>
        <w:rPr>
          <w:rFonts w:ascii="Times New Roman" w:hAnsi="Times New Roman" w:cs="Times New Roman"/>
          <w:color w:val="000000"/>
          <w:sz w:val="24"/>
          <w:szCs w:val="24"/>
          <w:shd w:val="clear" w:color="auto" w:fill="FFFFFF"/>
        </w:rPr>
      </w:pPr>
      <w:r w:rsidRPr="0024544E">
        <w:rPr>
          <w:rFonts w:ascii="Times New Roman" w:hAnsi="Times New Roman" w:cs="Times New Roman"/>
          <w:sz w:val="24"/>
          <w:szCs w:val="24"/>
        </w:rPr>
        <w:t>European Court of Justice,</w:t>
      </w:r>
      <w:r w:rsidR="0032458C">
        <w:rPr>
          <w:rFonts w:ascii="Times New Roman" w:hAnsi="Times New Roman" w:cs="Times New Roman"/>
          <w:sz w:val="24"/>
          <w:szCs w:val="24"/>
        </w:rPr>
        <w:t xml:space="preserve"> </w:t>
      </w:r>
      <w:r w:rsidR="00D20F2E">
        <w:rPr>
          <w:rFonts w:ascii="Times New Roman" w:hAnsi="Times New Roman" w:cs="Times New Roman"/>
          <w:sz w:val="24"/>
          <w:szCs w:val="24"/>
        </w:rPr>
        <w:t xml:space="preserve">9 </w:t>
      </w:r>
      <w:r w:rsidR="0032458C">
        <w:rPr>
          <w:rFonts w:ascii="Times New Roman" w:hAnsi="Times New Roman" w:cs="Times New Roman"/>
          <w:sz w:val="24"/>
          <w:szCs w:val="24"/>
        </w:rPr>
        <w:t>November 2004,</w:t>
      </w:r>
      <w:r w:rsidRPr="0024544E">
        <w:rPr>
          <w:rFonts w:ascii="Times New Roman" w:hAnsi="Times New Roman" w:cs="Times New Roman"/>
          <w:sz w:val="24"/>
          <w:szCs w:val="24"/>
        </w:rPr>
        <w:t xml:space="preserve"> case C- 46/02, Fixtures Marketing v. Oy </w:t>
      </w:r>
      <w:proofErr w:type="spellStart"/>
      <w:r w:rsidRPr="0024544E">
        <w:rPr>
          <w:rFonts w:ascii="Times New Roman" w:hAnsi="Times New Roman" w:cs="Times New Roman"/>
          <w:sz w:val="24"/>
          <w:szCs w:val="24"/>
        </w:rPr>
        <w:t>Vekkaus</w:t>
      </w:r>
      <w:proofErr w:type="spellEnd"/>
      <w:r w:rsidRPr="0024544E">
        <w:rPr>
          <w:rFonts w:ascii="Times New Roman" w:hAnsi="Times New Roman" w:cs="Times New Roman"/>
          <w:sz w:val="24"/>
          <w:szCs w:val="24"/>
        </w:rPr>
        <w:t xml:space="preserve"> AB, </w:t>
      </w:r>
      <w:r w:rsidR="00D20F2E">
        <w:rPr>
          <w:rFonts w:ascii="Times New Roman" w:hAnsi="Times New Roman" w:cs="Times New Roman"/>
          <w:sz w:val="24"/>
          <w:szCs w:val="24"/>
        </w:rPr>
        <w:t>“</w:t>
      </w:r>
      <w:r w:rsidRPr="0024544E">
        <w:rPr>
          <w:rFonts w:ascii="Times New Roman" w:hAnsi="Times New Roman" w:cs="Times New Roman"/>
          <w:sz w:val="24"/>
          <w:szCs w:val="24"/>
        </w:rPr>
        <w:t>Fixtures-Oy</w:t>
      </w:r>
      <w:r w:rsidR="00D20F2E">
        <w:rPr>
          <w:rFonts w:ascii="Times New Roman" w:hAnsi="Times New Roman" w:cs="Times New Roman"/>
          <w:sz w:val="24"/>
          <w:szCs w:val="24"/>
        </w:rPr>
        <w:t xml:space="preserve"> case”.</w:t>
      </w:r>
    </w:p>
    <w:p w14:paraId="6418E764" w14:textId="3769D295" w:rsidR="003A08F7" w:rsidRPr="0024544E" w:rsidRDefault="003A08F7" w:rsidP="003A08F7">
      <w:pPr>
        <w:spacing w:after="0" w:line="240" w:lineRule="auto"/>
        <w:jc w:val="both"/>
        <w:rPr>
          <w:rFonts w:ascii="Times New Roman" w:hAnsi="Times New Roman" w:cs="Times New Roman"/>
          <w:color w:val="000000"/>
          <w:sz w:val="24"/>
          <w:szCs w:val="24"/>
          <w:shd w:val="clear" w:color="auto" w:fill="FFFFFF"/>
        </w:rPr>
      </w:pPr>
      <w:r w:rsidRPr="0024544E">
        <w:rPr>
          <w:rFonts w:ascii="Times New Roman" w:hAnsi="Times New Roman" w:cs="Times New Roman"/>
          <w:color w:val="000000"/>
          <w:sz w:val="24"/>
          <w:szCs w:val="24"/>
          <w:shd w:val="clear" w:color="auto" w:fill="FFFFFF"/>
        </w:rPr>
        <w:t>European Court of Justice,</w:t>
      </w:r>
      <w:r w:rsidR="0032458C">
        <w:rPr>
          <w:rFonts w:ascii="Times New Roman" w:hAnsi="Times New Roman" w:cs="Times New Roman"/>
          <w:color w:val="000000"/>
          <w:sz w:val="24"/>
          <w:szCs w:val="24"/>
          <w:shd w:val="clear" w:color="auto" w:fill="FFFFFF"/>
        </w:rPr>
        <w:t xml:space="preserve"> </w:t>
      </w:r>
      <w:r w:rsidR="00D20F2E">
        <w:rPr>
          <w:rFonts w:ascii="Times New Roman" w:hAnsi="Times New Roman" w:cs="Times New Roman"/>
          <w:color w:val="000000"/>
          <w:sz w:val="24"/>
          <w:szCs w:val="24"/>
          <w:shd w:val="clear" w:color="auto" w:fill="FFFFFF"/>
        </w:rPr>
        <w:t xml:space="preserve">9 </w:t>
      </w:r>
      <w:r w:rsidR="0032458C">
        <w:rPr>
          <w:rFonts w:ascii="Times New Roman" w:hAnsi="Times New Roman" w:cs="Times New Roman"/>
          <w:sz w:val="24"/>
          <w:szCs w:val="24"/>
        </w:rPr>
        <w:t xml:space="preserve">November </w:t>
      </w:r>
      <w:r w:rsidR="00D20F2E">
        <w:rPr>
          <w:rFonts w:ascii="Times New Roman" w:hAnsi="Times New Roman" w:cs="Times New Roman"/>
          <w:sz w:val="24"/>
          <w:szCs w:val="24"/>
        </w:rPr>
        <w:t>2</w:t>
      </w:r>
      <w:r w:rsidR="0032458C">
        <w:rPr>
          <w:rFonts w:ascii="Times New Roman" w:hAnsi="Times New Roman" w:cs="Times New Roman"/>
          <w:sz w:val="24"/>
          <w:szCs w:val="24"/>
        </w:rPr>
        <w:t>004,</w:t>
      </w:r>
      <w:r w:rsidR="0032458C" w:rsidRPr="0024544E">
        <w:rPr>
          <w:rFonts w:ascii="Times New Roman" w:hAnsi="Times New Roman" w:cs="Times New Roman"/>
          <w:sz w:val="24"/>
          <w:szCs w:val="24"/>
        </w:rPr>
        <w:t xml:space="preserve"> </w:t>
      </w:r>
      <w:r w:rsidRPr="0024544E">
        <w:rPr>
          <w:rFonts w:ascii="Times New Roman" w:hAnsi="Times New Roman" w:cs="Times New Roman"/>
          <w:color w:val="000000"/>
          <w:sz w:val="24"/>
          <w:szCs w:val="24"/>
          <w:shd w:val="clear" w:color="auto" w:fill="FFFFFF"/>
        </w:rPr>
        <w:t xml:space="preserve">case 444/02, Fixtures Marketing v. </w:t>
      </w:r>
      <w:proofErr w:type="spellStart"/>
      <w:r w:rsidRPr="0024544E">
        <w:rPr>
          <w:rFonts w:ascii="Times New Roman" w:hAnsi="Times New Roman" w:cs="Times New Roman"/>
          <w:sz w:val="24"/>
          <w:szCs w:val="24"/>
        </w:rPr>
        <w:t>Organismos</w:t>
      </w:r>
      <w:proofErr w:type="spellEnd"/>
      <w:r w:rsidRPr="0024544E">
        <w:rPr>
          <w:rFonts w:ascii="Times New Roman" w:hAnsi="Times New Roman" w:cs="Times New Roman"/>
          <w:sz w:val="24"/>
          <w:szCs w:val="24"/>
        </w:rPr>
        <w:t xml:space="preserve"> </w:t>
      </w:r>
      <w:proofErr w:type="spellStart"/>
      <w:r w:rsidRPr="0024544E">
        <w:rPr>
          <w:rFonts w:ascii="Times New Roman" w:hAnsi="Times New Roman" w:cs="Times New Roman"/>
          <w:sz w:val="24"/>
          <w:szCs w:val="24"/>
        </w:rPr>
        <w:t>prognostikon</w:t>
      </w:r>
      <w:proofErr w:type="spellEnd"/>
      <w:r w:rsidRPr="0024544E">
        <w:rPr>
          <w:rFonts w:ascii="Times New Roman" w:hAnsi="Times New Roman" w:cs="Times New Roman"/>
          <w:sz w:val="24"/>
          <w:szCs w:val="24"/>
        </w:rPr>
        <w:t xml:space="preserve"> </w:t>
      </w:r>
      <w:proofErr w:type="spellStart"/>
      <w:r w:rsidRPr="0024544E">
        <w:rPr>
          <w:rFonts w:ascii="Times New Roman" w:hAnsi="Times New Roman" w:cs="Times New Roman"/>
          <w:sz w:val="24"/>
          <w:szCs w:val="24"/>
        </w:rPr>
        <w:t>agonon</w:t>
      </w:r>
      <w:proofErr w:type="spellEnd"/>
      <w:r w:rsidRPr="0024544E">
        <w:rPr>
          <w:rFonts w:ascii="Times New Roman" w:hAnsi="Times New Roman" w:cs="Times New Roman"/>
          <w:sz w:val="24"/>
          <w:szCs w:val="24"/>
        </w:rPr>
        <w:t xml:space="preserve"> </w:t>
      </w:r>
      <w:proofErr w:type="spellStart"/>
      <w:r w:rsidRPr="0024544E">
        <w:rPr>
          <w:rFonts w:ascii="Times New Roman" w:hAnsi="Times New Roman" w:cs="Times New Roman"/>
          <w:sz w:val="24"/>
          <w:szCs w:val="24"/>
        </w:rPr>
        <w:t>podosfairou</w:t>
      </w:r>
      <w:proofErr w:type="spellEnd"/>
      <w:r>
        <w:rPr>
          <w:rFonts w:ascii="Times New Roman" w:hAnsi="Times New Roman" w:cs="Times New Roman"/>
          <w:color w:val="000000"/>
          <w:sz w:val="24"/>
          <w:szCs w:val="24"/>
          <w:shd w:val="clear" w:color="auto" w:fill="FFFFFF"/>
        </w:rPr>
        <w:t>,</w:t>
      </w:r>
      <w:r w:rsidRPr="0024544E">
        <w:rPr>
          <w:rFonts w:ascii="Times New Roman" w:hAnsi="Times New Roman" w:cs="Times New Roman"/>
          <w:sz w:val="24"/>
          <w:szCs w:val="24"/>
        </w:rPr>
        <w:t xml:space="preserve"> </w:t>
      </w:r>
      <w:r w:rsidR="00D20F2E">
        <w:rPr>
          <w:rFonts w:ascii="Times New Roman" w:hAnsi="Times New Roman" w:cs="Times New Roman"/>
          <w:sz w:val="24"/>
          <w:szCs w:val="24"/>
        </w:rPr>
        <w:t>“</w:t>
      </w:r>
      <w:r w:rsidRPr="0024544E">
        <w:rPr>
          <w:rFonts w:ascii="Times New Roman" w:hAnsi="Times New Roman" w:cs="Times New Roman"/>
          <w:sz w:val="24"/>
          <w:szCs w:val="24"/>
        </w:rPr>
        <w:t>Fixtures-OPAP</w:t>
      </w:r>
      <w:r w:rsidR="00D20F2E">
        <w:rPr>
          <w:rFonts w:ascii="Times New Roman" w:hAnsi="Times New Roman" w:cs="Times New Roman"/>
          <w:sz w:val="24"/>
          <w:szCs w:val="24"/>
        </w:rPr>
        <w:t xml:space="preserve"> case”.</w:t>
      </w:r>
    </w:p>
    <w:p w14:paraId="2A71E13D" w14:textId="50656190" w:rsidR="003A08F7" w:rsidRPr="00C611A9" w:rsidRDefault="003A08F7" w:rsidP="003A08F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European Court of Justice,</w:t>
      </w:r>
      <w:r w:rsidR="0032458C">
        <w:rPr>
          <w:rFonts w:ascii="Times New Roman" w:hAnsi="Times New Roman" w:cs="Times New Roman"/>
          <w:color w:val="000000"/>
          <w:sz w:val="24"/>
          <w:szCs w:val="24"/>
          <w:shd w:val="clear" w:color="auto" w:fill="FFFFFF"/>
        </w:rPr>
        <w:t xml:space="preserve"> </w:t>
      </w:r>
      <w:r w:rsidR="00D20F2E">
        <w:rPr>
          <w:rFonts w:ascii="Times New Roman" w:hAnsi="Times New Roman" w:cs="Times New Roman"/>
          <w:color w:val="000000"/>
          <w:sz w:val="24"/>
          <w:szCs w:val="24"/>
          <w:shd w:val="clear" w:color="auto" w:fill="FFFFFF"/>
        </w:rPr>
        <w:t xml:space="preserve">15 </w:t>
      </w:r>
      <w:r w:rsidR="0032458C">
        <w:rPr>
          <w:rFonts w:ascii="Times New Roman" w:hAnsi="Times New Roman" w:cs="Times New Roman"/>
          <w:color w:val="000000"/>
          <w:sz w:val="24"/>
          <w:szCs w:val="24"/>
          <w:shd w:val="clear" w:color="auto" w:fill="FFFFFF"/>
        </w:rPr>
        <w:t>January 2015,</w:t>
      </w:r>
      <w:r>
        <w:rPr>
          <w:rFonts w:ascii="Times New Roman" w:hAnsi="Times New Roman" w:cs="Times New Roman"/>
          <w:color w:val="000000"/>
          <w:sz w:val="24"/>
          <w:szCs w:val="24"/>
          <w:shd w:val="clear" w:color="auto" w:fill="FFFFFF"/>
        </w:rPr>
        <w:t xml:space="preserve"> case C-30/14, Ryanair Ltd v.</w:t>
      </w:r>
      <w:r w:rsidRPr="00C611A9">
        <w:rPr>
          <w:rFonts w:ascii="Times New Roman" w:hAnsi="Times New Roman" w:cs="Times New Roman"/>
          <w:color w:val="000000"/>
          <w:sz w:val="24"/>
          <w:szCs w:val="24"/>
          <w:shd w:val="clear" w:color="auto" w:fill="FFFFFF"/>
        </w:rPr>
        <w:t xml:space="preserve"> PR Aviation BV</w:t>
      </w:r>
      <w:r>
        <w:rPr>
          <w:rFonts w:ascii="Times New Roman" w:hAnsi="Times New Roman" w:cs="Times New Roman"/>
          <w:color w:val="000000"/>
          <w:sz w:val="24"/>
          <w:szCs w:val="24"/>
          <w:shd w:val="clear" w:color="auto" w:fill="FFFFFF"/>
        </w:rPr>
        <w:t xml:space="preserve">, </w:t>
      </w:r>
      <w:r w:rsidR="00D20F2E">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Ryanair</w:t>
      </w:r>
      <w:r w:rsidR="00D20F2E">
        <w:rPr>
          <w:rFonts w:ascii="Times New Roman" w:hAnsi="Times New Roman" w:cs="Times New Roman"/>
          <w:sz w:val="24"/>
          <w:szCs w:val="24"/>
        </w:rPr>
        <w:t xml:space="preserve"> case”.</w:t>
      </w:r>
      <w:r w:rsidRPr="0024544E">
        <w:rPr>
          <w:rFonts w:ascii="Times New Roman" w:hAnsi="Times New Roman" w:cs="Times New Roman"/>
          <w:sz w:val="24"/>
          <w:szCs w:val="24"/>
        </w:rPr>
        <w:t xml:space="preserve">  </w:t>
      </w:r>
    </w:p>
    <w:p w14:paraId="6DDAA8F0" w14:textId="02C42605" w:rsidR="003A08F7" w:rsidRDefault="003A08F7" w:rsidP="003A08F7">
      <w:pPr>
        <w:spacing w:after="0" w:line="240" w:lineRule="auto"/>
        <w:jc w:val="both"/>
        <w:rPr>
          <w:rFonts w:ascii="Times New Roman" w:hAnsi="Times New Roman" w:cs="Times New Roman"/>
          <w:color w:val="000000"/>
          <w:sz w:val="24"/>
          <w:szCs w:val="24"/>
          <w:shd w:val="clear" w:color="auto" w:fill="FFFFFF"/>
        </w:rPr>
      </w:pPr>
      <w:r w:rsidRPr="0024544E">
        <w:rPr>
          <w:rFonts w:ascii="Times New Roman" w:hAnsi="Times New Roman" w:cs="Times New Roman"/>
          <w:sz w:val="24"/>
          <w:szCs w:val="24"/>
        </w:rPr>
        <w:t>European Court of Justice,</w:t>
      </w:r>
      <w:r w:rsidR="0032458C">
        <w:rPr>
          <w:rFonts w:ascii="Times New Roman" w:hAnsi="Times New Roman" w:cs="Times New Roman"/>
          <w:sz w:val="24"/>
          <w:szCs w:val="24"/>
        </w:rPr>
        <w:t xml:space="preserve"> </w:t>
      </w:r>
      <w:r w:rsidR="00D20F2E">
        <w:rPr>
          <w:rFonts w:ascii="Times New Roman" w:hAnsi="Times New Roman" w:cs="Times New Roman"/>
          <w:sz w:val="24"/>
          <w:szCs w:val="24"/>
        </w:rPr>
        <w:t>29 O</w:t>
      </w:r>
      <w:r w:rsidR="0032458C">
        <w:rPr>
          <w:rFonts w:ascii="Times New Roman" w:hAnsi="Times New Roman" w:cs="Times New Roman"/>
          <w:sz w:val="24"/>
          <w:szCs w:val="24"/>
        </w:rPr>
        <w:t>ctober 2015,</w:t>
      </w:r>
      <w:r w:rsidRPr="0024544E">
        <w:rPr>
          <w:rFonts w:ascii="Times New Roman" w:hAnsi="Times New Roman" w:cs="Times New Roman"/>
          <w:sz w:val="24"/>
          <w:szCs w:val="24"/>
        </w:rPr>
        <w:t xml:space="preserve"> case C-490/14, </w:t>
      </w:r>
      <w:proofErr w:type="spellStart"/>
      <w:r w:rsidRPr="0024544E">
        <w:rPr>
          <w:rFonts w:ascii="Times New Roman" w:hAnsi="Times New Roman" w:cs="Times New Roman"/>
          <w:sz w:val="24"/>
          <w:szCs w:val="24"/>
        </w:rPr>
        <w:t>Freistaat</w:t>
      </w:r>
      <w:proofErr w:type="spellEnd"/>
      <w:r w:rsidRPr="0024544E">
        <w:rPr>
          <w:rFonts w:ascii="Times New Roman" w:hAnsi="Times New Roman" w:cs="Times New Roman"/>
          <w:sz w:val="24"/>
          <w:szCs w:val="24"/>
        </w:rPr>
        <w:t xml:space="preserve"> Bayern v. Verlag </w:t>
      </w:r>
      <w:proofErr w:type="spellStart"/>
      <w:r w:rsidRPr="0024544E">
        <w:rPr>
          <w:rFonts w:ascii="Times New Roman" w:hAnsi="Times New Roman" w:cs="Times New Roman"/>
          <w:sz w:val="24"/>
          <w:szCs w:val="24"/>
        </w:rPr>
        <w:t>Esterbauer</w:t>
      </w:r>
      <w:proofErr w:type="spellEnd"/>
      <w:r w:rsidRPr="0024544E">
        <w:rPr>
          <w:rFonts w:ascii="Times New Roman" w:hAnsi="Times New Roman" w:cs="Times New Roman"/>
          <w:sz w:val="24"/>
          <w:szCs w:val="24"/>
        </w:rPr>
        <w:t xml:space="preserve"> </w:t>
      </w:r>
      <w:proofErr w:type="spellStart"/>
      <w:r w:rsidRPr="0024544E">
        <w:rPr>
          <w:rFonts w:ascii="Times New Roman" w:hAnsi="Times New Roman" w:cs="Times New Roman"/>
          <w:sz w:val="24"/>
          <w:szCs w:val="24"/>
        </w:rPr>
        <w:t>Gmbh</w:t>
      </w:r>
      <w:proofErr w:type="spellEnd"/>
      <w:r w:rsidRPr="0024544E">
        <w:rPr>
          <w:rFonts w:ascii="Times New Roman" w:hAnsi="Times New Roman" w:cs="Times New Roman"/>
          <w:sz w:val="24"/>
          <w:szCs w:val="24"/>
        </w:rPr>
        <w:t xml:space="preserve">, </w:t>
      </w:r>
      <w:r w:rsidR="00D20F2E">
        <w:rPr>
          <w:rFonts w:ascii="Times New Roman" w:hAnsi="Times New Roman" w:cs="Times New Roman"/>
          <w:sz w:val="24"/>
          <w:szCs w:val="24"/>
        </w:rPr>
        <w:t>“</w:t>
      </w:r>
      <w:r w:rsidRPr="0024544E">
        <w:rPr>
          <w:rFonts w:ascii="Times New Roman" w:hAnsi="Times New Roman" w:cs="Times New Roman"/>
          <w:sz w:val="24"/>
          <w:szCs w:val="24"/>
        </w:rPr>
        <w:t xml:space="preserve">Verlag </w:t>
      </w:r>
      <w:proofErr w:type="spellStart"/>
      <w:r w:rsidRPr="0024544E">
        <w:rPr>
          <w:rFonts w:ascii="Times New Roman" w:hAnsi="Times New Roman" w:cs="Times New Roman"/>
          <w:sz w:val="24"/>
          <w:szCs w:val="24"/>
        </w:rPr>
        <w:t>Esterbauer</w:t>
      </w:r>
      <w:proofErr w:type="spellEnd"/>
      <w:r w:rsidR="00D20F2E">
        <w:rPr>
          <w:rFonts w:ascii="Times New Roman" w:hAnsi="Times New Roman" w:cs="Times New Roman"/>
          <w:sz w:val="24"/>
          <w:szCs w:val="24"/>
        </w:rPr>
        <w:t xml:space="preserve"> case”.</w:t>
      </w:r>
    </w:p>
    <w:p w14:paraId="788FFFD6" w14:textId="77777777" w:rsidR="003A08F7" w:rsidRPr="0024544E" w:rsidRDefault="003A08F7" w:rsidP="003A08F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4544E">
        <w:rPr>
          <w:rFonts w:ascii="Times New Roman" w:hAnsi="Times New Roman" w:cs="Times New Roman"/>
          <w:sz w:val="24"/>
          <w:szCs w:val="24"/>
        </w:rPr>
        <w:t xml:space="preserve">  </w:t>
      </w:r>
    </w:p>
    <w:p w14:paraId="4756B04C" w14:textId="77777777" w:rsidR="003A08F7" w:rsidRDefault="003A08F7" w:rsidP="003A08F7">
      <w:pPr>
        <w:spacing w:after="0" w:line="240" w:lineRule="auto"/>
        <w:jc w:val="both"/>
        <w:rPr>
          <w:rFonts w:ascii="Times New Roman" w:hAnsi="Times New Roman" w:cs="Times New Roman"/>
          <w:sz w:val="24"/>
          <w:szCs w:val="24"/>
          <w:u w:val="single"/>
        </w:rPr>
      </w:pPr>
      <w:r w:rsidRPr="0024544E">
        <w:rPr>
          <w:rFonts w:ascii="Times New Roman" w:hAnsi="Times New Roman" w:cs="Times New Roman"/>
          <w:sz w:val="24"/>
          <w:szCs w:val="24"/>
          <w:u w:val="single"/>
        </w:rPr>
        <w:t>Domestic Courts</w:t>
      </w:r>
    </w:p>
    <w:p w14:paraId="63B641AD" w14:textId="77777777" w:rsidR="003A08F7" w:rsidRDefault="003A08F7" w:rsidP="003A08F7">
      <w:pPr>
        <w:spacing w:after="0" w:line="240" w:lineRule="auto"/>
        <w:jc w:val="both"/>
        <w:rPr>
          <w:rFonts w:ascii="Times New Roman" w:hAnsi="Times New Roman" w:cs="Times New Roman"/>
          <w:sz w:val="24"/>
          <w:szCs w:val="24"/>
          <w:u w:val="single"/>
        </w:rPr>
      </w:pPr>
    </w:p>
    <w:p w14:paraId="62028388" w14:textId="77777777" w:rsidR="003A08F7" w:rsidRDefault="003A08F7"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France</w:t>
      </w:r>
    </w:p>
    <w:p w14:paraId="157CD1A6" w14:textId="39F33980" w:rsidR="003A08F7" w:rsidRDefault="0032458C"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 Com. Nanterre, </w:t>
      </w:r>
      <w:r w:rsidR="00D20F2E">
        <w:rPr>
          <w:rFonts w:ascii="Times New Roman" w:hAnsi="Times New Roman" w:cs="Times New Roman"/>
          <w:sz w:val="24"/>
          <w:szCs w:val="24"/>
        </w:rPr>
        <w:t xml:space="preserve">16 </w:t>
      </w:r>
      <w:r>
        <w:rPr>
          <w:rFonts w:ascii="Times New Roman" w:hAnsi="Times New Roman" w:cs="Times New Roman"/>
          <w:sz w:val="24"/>
          <w:szCs w:val="24"/>
        </w:rPr>
        <w:t xml:space="preserve">May 2000, PR Line v. </w:t>
      </w:r>
      <w:proofErr w:type="spellStart"/>
      <w:r>
        <w:rPr>
          <w:rFonts w:ascii="Times New Roman" w:hAnsi="Times New Roman" w:cs="Times New Roman"/>
          <w:sz w:val="24"/>
          <w:szCs w:val="24"/>
        </w:rPr>
        <w:t>Newsinvest</w:t>
      </w:r>
      <w:proofErr w:type="spellEnd"/>
      <w:r w:rsidR="00D20F2E">
        <w:rPr>
          <w:rFonts w:ascii="Times New Roman" w:hAnsi="Times New Roman" w:cs="Times New Roman"/>
          <w:sz w:val="24"/>
          <w:szCs w:val="24"/>
        </w:rPr>
        <w:t>.</w:t>
      </w:r>
    </w:p>
    <w:p w14:paraId="70838D97" w14:textId="4E614222" w:rsidR="003A08F7" w:rsidRPr="0032458C" w:rsidRDefault="0032458C" w:rsidP="003A08F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TGI Paris, </w:t>
      </w:r>
      <w:r w:rsidR="00D20F2E">
        <w:rPr>
          <w:rFonts w:ascii="Times New Roman" w:hAnsi="Times New Roman" w:cs="Times New Roman"/>
          <w:sz w:val="24"/>
          <w:szCs w:val="24"/>
          <w:lang w:val="it-IT"/>
        </w:rPr>
        <w:t xml:space="preserve">25 </w:t>
      </w:r>
      <w:r w:rsidRPr="0032458C">
        <w:rPr>
          <w:rFonts w:ascii="Times New Roman" w:hAnsi="Times New Roman" w:cs="Times New Roman"/>
          <w:sz w:val="24"/>
          <w:szCs w:val="24"/>
          <w:lang w:val="it-IT"/>
        </w:rPr>
        <w:t>April</w:t>
      </w:r>
      <w:r>
        <w:rPr>
          <w:rFonts w:ascii="Times New Roman" w:hAnsi="Times New Roman" w:cs="Times New Roman"/>
          <w:sz w:val="24"/>
          <w:szCs w:val="24"/>
          <w:lang w:val="it-IT"/>
        </w:rPr>
        <w:t xml:space="preserve"> </w:t>
      </w:r>
      <w:r w:rsidRPr="0032458C">
        <w:rPr>
          <w:rFonts w:ascii="Times New Roman" w:hAnsi="Times New Roman" w:cs="Times New Roman"/>
          <w:sz w:val="24"/>
          <w:szCs w:val="24"/>
          <w:lang w:val="it-IT"/>
        </w:rPr>
        <w:t>2003</w:t>
      </w:r>
      <w:r>
        <w:rPr>
          <w:rFonts w:ascii="Times New Roman" w:hAnsi="Times New Roman" w:cs="Times New Roman"/>
          <w:sz w:val="24"/>
          <w:szCs w:val="24"/>
          <w:lang w:val="it-IT"/>
        </w:rPr>
        <w:t xml:space="preserve">, </w:t>
      </w:r>
      <w:r w:rsidR="003A08F7" w:rsidRPr="0032458C">
        <w:rPr>
          <w:rFonts w:ascii="Times New Roman" w:hAnsi="Times New Roman" w:cs="Times New Roman"/>
          <w:sz w:val="24"/>
          <w:szCs w:val="24"/>
          <w:lang w:val="it-IT"/>
        </w:rPr>
        <w:t>Sonac</w:t>
      </w:r>
      <w:r>
        <w:rPr>
          <w:rFonts w:ascii="Times New Roman" w:hAnsi="Times New Roman" w:cs="Times New Roman"/>
          <w:sz w:val="24"/>
          <w:szCs w:val="24"/>
          <w:lang w:val="it-IT"/>
        </w:rPr>
        <w:t>otra v. Syndicat Sud Sonacotra</w:t>
      </w:r>
      <w:r w:rsidR="00D20F2E">
        <w:rPr>
          <w:rFonts w:ascii="Times New Roman" w:hAnsi="Times New Roman" w:cs="Times New Roman"/>
          <w:sz w:val="24"/>
          <w:szCs w:val="24"/>
          <w:lang w:val="it-IT"/>
        </w:rPr>
        <w:t>.</w:t>
      </w:r>
    </w:p>
    <w:p w14:paraId="01DBD438" w14:textId="77777777" w:rsidR="003A08F7" w:rsidRPr="0032458C" w:rsidRDefault="003A08F7" w:rsidP="003A08F7">
      <w:pPr>
        <w:spacing w:after="0" w:line="240" w:lineRule="auto"/>
        <w:jc w:val="both"/>
        <w:rPr>
          <w:rFonts w:ascii="Times New Roman" w:hAnsi="Times New Roman" w:cs="Times New Roman"/>
          <w:sz w:val="24"/>
          <w:szCs w:val="24"/>
          <w:lang w:val="it-IT"/>
        </w:rPr>
      </w:pPr>
    </w:p>
    <w:p w14:paraId="69690D48" w14:textId="77777777" w:rsidR="003A08F7" w:rsidRPr="00982905" w:rsidRDefault="003A08F7" w:rsidP="003A08F7">
      <w:pPr>
        <w:spacing w:after="0" w:line="240" w:lineRule="auto"/>
        <w:jc w:val="both"/>
        <w:rPr>
          <w:rFonts w:ascii="Times New Roman" w:hAnsi="Times New Roman" w:cs="Times New Roman"/>
          <w:sz w:val="24"/>
          <w:szCs w:val="24"/>
        </w:rPr>
      </w:pPr>
      <w:r w:rsidRPr="00982905">
        <w:rPr>
          <w:rFonts w:ascii="Times New Roman" w:hAnsi="Times New Roman" w:cs="Times New Roman"/>
          <w:sz w:val="24"/>
          <w:szCs w:val="24"/>
        </w:rPr>
        <w:t>Germany</w:t>
      </w:r>
    </w:p>
    <w:p w14:paraId="7E2F720D" w14:textId="0432FD47" w:rsidR="003A08F7" w:rsidRPr="006048D8" w:rsidRDefault="003A08F7" w:rsidP="003A08F7">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AC Rostock</w:t>
      </w:r>
      <w:r w:rsidR="00D20F2E">
        <w:rPr>
          <w:rFonts w:ascii="Times New Roman" w:hAnsi="Times New Roman" w:cs="Times New Roman"/>
          <w:sz w:val="24"/>
          <w:szCs w:val="24"/>
        </w:rPr>
        <w:t>, 20</w:t>
      </w:r>
      <w:r w:rsidR="0032458C" w:rsidRPr="006F2378">
        <w:rPr>
          <w:rFonts w:ascii="Times New Roman" w:hAnsi="Times New Roman" w:cs="Times New Roman"/>
          <w:sz w:val="24"/>
          <w:szCs w:val="24"/>
        </w:rPr>
        <w:t xml:space="preserve"> February 2001</w:t>
      </w:r>
      <w:r w:rsidRPr="006F2378">
        <w:rPr>
          <w:rFonts w:ascii="Times New Roman" w:hAnsi="Times New Roman" w:cs="Times New Roman"/>
          <w:sz w:val="24"/>
          <w:szCs w:val="24"/>
        </w:rPr>
        <w:t xml:space="preserve">, </w:t>
      </w:r>
      <w:proofErr w:type="spellStart"/>
      <w:r w:rsidRPr="006F2378">
        <w:rPr>
          <w:rFonts w:ascii="Times New Roman" w:hAnsi="Times New Roman" w:cs="Times New Roman"/>
          <w:sz w:val="24"/>
          <w:szCs w:val="24"/>
        </w:rPr>
        <w:t>Datenbankeigenschaft</w:t>
      </w:r>
      <w:proofErr w:type="spellEnd"/>
      <w:r w:rsidRPr="006F2378">
        <w:rPr>
          <w:rFonts w:ascii="Times New Roman" w:hAnsi="Times New Roman" w:cs="Times New Roman"/>
          <w:sz w:val="24"/>
          <w:szCs w:val="24"/>
        </w:rPr>
        <w:t xml:space="preserve"> von </w:t>
      </w:r>
      <w:proofErr w:type="spellStart"/>
      <w:r w:rsidRPr="006F2378">
        <w:rPr>
          <w:rFonts w:ascii="Times New Roman" w:hAnsi="Times New Roman" w:cs="Times New Roman"/>
          <w:sz w:val="24"/>
          <w:szCs w:val="24"/>
        </w:rPr>
        <w:t>Hyperlinksammlungen</w:t>
      </w:r>
      <w:proofErr w:type="spellEnd"/>
      <w:r w:rsidR="00D20F2E">
        <w:rPr>
          <w:rFonts w:ascii="Times New Roman" w:hAnsi="Times New Roman" w:cs="Times New Roman"/>
          <w:sz w:val="24"/>
          <w:szCs w:val="24"/>
        </w:rPr>
        <w:t>.</w:t>
      </w:r>
    </w:p>
    <w:p w14:paraId="7D3746F8" w14:textId="28CEA9D6" w:rsidR="003A08F7" w:rsidRPr="006F2378" w:rsidRDefault="0032458C" w:rsidP="003A08F7">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BGH, </w:t>
      </w:r>
      <w:r w:rsidR="00D20F2E">
        <w:rPr>
          <w:rFonts w:ascii="Times New Roman" w:hAnsi="Times New Roman" w:cs="Times New Roman"/>
          <w:sz w:val="24"/>
          <w:szCs w:val="24"/>
        </w:rPr>
        <w:t xml:space="preserve">20 </w:t>
      </w:r>
      <w:r w:rsidR="003A08F7" w:rsidRPr="006F2378">
        <w:rPr>
          <w:rFonts w:ascii="Times New Roman" w:hAnsi="Times New Roman" w:cs="Times New Roman"/>
          <w:sz w:val="24"/>
          <w:szCs w:val="24"/>
        </w:rPr>
        <w:t>March</w:t>
      </w:r>
      <w:r w:rsidRPr="006F2378">
        <w:rPr>
          <w:rFonts w:ascii="Times New Roman" w:hAnsi="Times New Roman" w:cs="Times New Roman"/>
          <w:sz w:val="24"/>
          <w:szCs w:val="24"/>
        </w:rPr>
        <w:t xml:space="preserve"> </w:t>
      </w:r>
      <w:r w:rsidR="003A08F7" w:rsidRPr="006F2378">
        <w:rPr>
          <w:rFonts w:ascii="Times New Roman" w:hAnsi="Times New Roman" w:cs="Times New Roman"/>
          <w:sz w:val="24"/>
          <w:szCs w:val="24"/>
        </w:rPr>
        <w:t>2010,</w:t>
      </w:r>
      <w:r w:rsidRPr="006F2378">
        <w:rPr>
          <w:rFonts w:ascii="Times New Roman" w:hAnsi="Times New Roman" w:cs="Times New Roman"/>
          <w:sz w:val="24"/>
          <w:szCs w:val="24"/>
        </w:rPr>
        <w:t xml:space="preserve"> I ZR 47/08</w:t>
      </w:r>
      <w:r w:rsidR="00D20F2E">
        <w:rPr>
          <w:rFonts w:ascii="Times New Roman" w:hAnsi="Times New Roman" w:cs="Times New Roman"/>
          <w:sz w:val="24"/>
          <w:szCs w:val="24"/>
        </w:rPr>
        <w:t>, “</w:t>
      </w:r>
      <w:proofErr w:type="spellStart"/>
      <w:r w:rsidR="003A08F7" w:rsidRPr="006F2378">
        <w:rPr>
          <w:rFonts w:ascii="Times New Roman" w:hAnsi="Times New Roman" w:cs="Times New Roman"/>
          <w:sz w:val="24"/>
          <w:szCs w:val="24"/>
        </w:rPr>
        <w:t>Autobahnmaut</w:t>
      </w:r>
      <w:proofErr w:type="spellEnd"/>
      <w:r w:rsidR="00D20F2E">
        <w:rPr>
          <w:rFonts w:ascii="Times New Roman" w:hAnsi="Times New Roman" w:cs="Times New Roman"/>
          <w:sz w:val="24"/>
          <w:szCs w:val="24"/>
        </w:rPr>
        <w:t xml:space="preserve"> case”.</w:t>
      </w:r>
      <w:r w:rsidRPr="006F2378">
        <w:rPr>
          <w:rFonts w:ascii="Times New Roman" w:hAnsi="Times New Roman" w:cs="Times New Roman"/>
          <w:sz w:val="24"/>
          <w:szCs w:val="24"/>
        </w:rPr>
        <w:t xml:space="preserve"> </w:t>
      </w:r>
    </w:p>
    <w:p w14:paraId="4CAA87D0" w14:textId="77777777" w:rsidR="003A08F7" w:rsidRPr="006F2378" w:rsidRDefault="003A08F7" w:rsidP="003A08F7">
      <w:pPr>
        <w:spacing w:after="0" w:line="240" w:lineRule="auto"/>
        <w:jc w:val="both"/>
        <w:rPr>
          <w:rFonts w:ascii="Times New Roman" w:hAnsi="Times New Roman" w:cs="Times New Roman"/>
          <w:sz w:val="24"/>
          <w:szCs w:val="24"/>
        </w:rPr>
      </w:pPr>
    </w:p>
    <w:p w14:paraId="452909CF" w14:textId="77777777" w:rsidR="003A08F7" w:rsidRDefault="003A08F7"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Netherlands</w:t>
      </w:r>
    </w:p>
    <w:p w14:paraId="526A1C78" w14:textId="34E18C1A" w:rsidR="003A08F7" w:rsidRPr="00376741" w:rsidRDefault="003A08F7" w:rsidP="009B6433">
      <w:pPr>
        <w:pStyle w:val="Nota"/>
      </w:pPr>
      <w:r w:rsidRPr="006F2378">
        <w:rPr>
          <w:sz w:val="24"/>
        </w:rPr>
        <w:t>Court of Appeal of Amsterdam</w:t>
      </w:r>
      <w:r w:rsidR="0032458C" w:rsidRPr="006F2378">
        <w:rPr>
          <w:sz w:val="24"/>
        </w:rPr>
        <w:t xml:space="preserve"> November 22, 2016</w:t>
      </w:r>
      <w:r w:rsidRPr="006F2378">
        <w:rPr>
          <w:sz w:val="24"/>
        </w:rPr>
        <w:t>, Pearson v. Bar</w:t>
      </w:r>
      <w:r w:rsidRPr="006F2378">
        <w:t xml:space="preserve"> </w:t>
      </w:r>
      <w:r w:rsidRPr="006F2378">
        <w:rPr>
          <w:sz w:val="24"/>
        </w:rPr>
        <w:t>Software</w:t>
      </w:r>
      <w:r w:rsidR="00D20F2E">
        <w:rPr>
          <w:sz w:val="24"/>
        </w:rPr>
        <w:t>.</w:t>
      </w:r>
    </w:p>
    <w:p w14:paraId="4BD3125E" w14:textId="77777777" w:rsidR="003A08F7" w:rsidRPr="00982905" w:rsidRDefault="003A08F7" w:rsidP="003A08F7">
      <w:pPr>
        <w:spacing w:after="0" w:line="240" w:lineRule="auto"/>
        <w:jc w:val="both"/>
        <w:rPr>
          <w:rFonts w:ascii="Times New Roman" w:hAnsi="Times New Roman" w:cs="Times New Roman"/>
          <w:sz w:val="24"/>
          <w:szCs w:val="24"/>
        </w:rPr>
      </w:pPr>
    </w:p>
    <w:p w14:paraId="7B7473C4" w14:textId="77777777" w:rsidR="003A08F7" w:rsidRPr="00982905" w:rsidRDefault="003A08F7" w:rsidP="003A08F7">
      <w:pPr>
        <w:spacing w:after="0" w:line="240" w:lineRule="auto"/>
        <w:jc w:val="both"/>
        <w:rPr>
          <w:rFonts w:ascii="Times New Roman" w:hAnsi="Times New Roman" w:cs="Times New Roman"/>
          <w:b/>
          <w:sz w:val="24"/>
          <w:szCs w:val="24"/>
        </w:rPr>
      </w:pPr>
    </w:p>
    <w:p w14:paraId="3D8A1B51" w14:textId="77777777" w:rsidR="003A08F7" w:rsidRPr="0024544E" w:rsidRDefault="003A08F7" w:rsidP="003A08F7">
      <w:pPr>
        <w:spacing w:after="0" w:line="240" w:lineRule="auto"/>
        <w:jc w:val="both"/>
        <w:rPr>
          <w:rFonts w:ascii="Times New Roman" w:hAnsi="Times New Roman" w:cs="Times New Roman"/>
          <w:b/>
          <w:sz w:val="24"/>
          <w:szCs w:val="24"/>
        </w:rPr>
      </w:pPr>
      <w:r w:rsidRPr="0024544E">
        <w:rPr>
          <w:rFonts w:ascii="Times New Roman" w:hAnsi="Times New Roman" w:cs="Times New Roman"/>
          <w:b/>
          <w:sz w:val="24"/>
          <w:szCs w:val="24"/>
        </w:rPr>
        <w:t>Other Documents</w:t>
      </w:r>
    </w:p>
    <w:p w14:paraId="7646C8AA" w14:textId="77777777" w:rsidR="003A08F7" w:rsidRPr="0024544E" w:rsidRDefault="003A08F7" w:rsidP="003A08F7">
      <w:pPr>
        <w:spacing w:after="0" w:line="240" w:lineRule="auto"/>
        <w:jc w:val="both"/>
        <w:rPr>
          <w:rFonts w:ascii="Times New Roman" w:hAnsi="Times New Roman" w:cs="Times New Roman"/>
          <w:b/>
          <w:sz w:val="24"/>
          <w:szCs w:val="24"/>
        </w:rPr>
      </w:pPr>
    </w:p>
    <w:p w14:paraId="50EFA442" w14:textId="4BC89CA2" w:rsidR="002F6BCB" w:rsidRPr="002F6BCB" w:rsidRDefault="002F6BCB" w:rsidP="006F2378">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European Commission, </w:t>
      </w:r>
      <w:r w:rsidRPr="006F2378">
        <w:rPr>
          <w:rFonts w:ascii="Times New Roman" w:hAnsi="Times New Roman" w:cs="Times New Roman"/>
          <w:i/>
          <w:sz w:val="24"/>
          <w:szCs w:val="24"/>
        </w:rPr>
        <w:t>Proposal for a Council Directive on the legal protection of databases</w:t>
      </w:r>
      <w:r w:rsidRPr="006F2378">
        <w:rPr>
          <w:rFonts w:ascii="Times New Roman" w:hAnsi="Times New Roman" w:cs="Times New Roman"/>
          <w:sz w:val="24"/>
          <w:szCs w:val="24"/>
        </w:rPr>
        <w:t xml:space="preserve"> [</w:t>
      </w:r>
      <w:proofErr w:type="gramStart"/>
      <w:r w:rsidRPr="006F2378">
        <w:rPr>
          <w:rFonts w:ascii="Times New Roman" w:hAnsi="Times New Roman" w:cs="Times New Roman"/>
          <w:sz w:val="24"/>
          <w:szCs w:val="24"/>
        </w:rPr>
        <w:t>COM(</w:t>
      </w:r>
      <w:proofErr w:type="gramEnd"/>
      <w:r w:rsidRPr="006F2378">
        <w:rPr>
          <w:rFonts w:ascii="Times New Roman" w:hAnsi="Times New Roman" w:cs="Times New Roman"/>
          <w:sz w:val="24"/>
          <w:szCs w:val="24"/>
        </w:rPr>
        <w:t>1992) 24 final]</w:t>
      </w:r>
      <w:r w:rsidR="00D20F2E">
        <w:rPr>
          <w:rFonts w:ascii="Times New Roman" w:hAnsi="Times New Roman" w:cs="Times New Roman"/>
          <w:sz w:val="24"/>
          <w:szCs w:val="24"/>
        </w:rPr>
        <w:t>.</w:t>
      </w:r>
    </w:p>
    <w:p w14:paraId="148D2496" w14:textId="6A2DCEDC" w:rsidR="003A08F7" w:rsidRDefault="003A08F7" w:rsidP="006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JIIP and Technopolis</w:t>
      </w:r>
      <w:r w:rsidR="0032458C">
        <w:rPr>
          <w:rFonts w:ascii="Times New Roman" w:hAnsi="Times New Roman" w:cs="Times New Roman"/>
          <w:sz w:val="24"/>
          <w:szCs w:val="24"/>
        </w:rPr>
        <w:t xml:space="preserve"> Group</w:t>
      </w:r>
      <w:r>
        <w:rPr>
          <w:rFonts w:ascii="Times New Roman" w:hAnsi="Times New Roman" w:cs="Times New Roman"/>
          <w:sz w:val="24"/>
          <w:szCs w:val="24"/>
        </w:rPr>
        <w:t xml:space="preserve">, </w:t>
      </w:r>
      <w:r>
        <w:rPr>
          <w:rFonts w:ascii="Times New Roman" w:hAnsi="Times New Roman" w:cs="Times New Roman"/>
          <w:i/>
          <w:sz w:val="24"/>
          <w:szCs w:val="24"/>
        </w:rPr>
        <w:t>Study in support of the evaluation of Directive 96/9/EC on the legal protection of databases</w:t>
      </w:r>
      <w:r w:rsidR="007B3A51">
        <w:rPr>
          <w:rFonts w:ascii="Times New Roman" w:hAnsi="Times New Roman" w:cs="Times New Roman"/>
          <w:sz w:val="24"/>
          <w:szCs w:val="24"/>
        </w:rPr>
        <w:t>, Luxembourg</w:t>
      </w:r>
      <w:r>
        <w:rPr>
          <w:rFonts w:ascii="Times New Roman" w:hAnsi="Times New Roman" w:cs="Times New Roman"/>
          <w:sz w:val="24"/>
          <w:szCs w:val="24"/>
        </w:rPr>
        <w:t>, 2018</w:t>
      </w:r>
      <w:r w:rsidR="00D20F2E">
        <w:rPr>
          <w:rFonts w:ascii="Times New Roman" w:hAnsi="Times New Roman" w:cs="Times New Roman"/>
          <w:sz w:val="24"/>
          <w:szCs w:val="24"/>
        </w:rPr>
        <w:t>.</w:t>
      </w:r>
    </w:p>
    <w:p w14:paraId="05C147AB" w14:textId="7A65D038" w:rsidR="003A08F7" w:rsidRDefault="003A08F7" w:rsidP="003A0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European </w:t>
      </w:r>
      <w:r w:rsidRPr="0024544E">
        <w:rPr>
          <w:rFonts w:ascii="Times New Roman" w:hAnsi="Times New Roman" w:cs="Times New Roman"/>
          <w:sz w:val="24"/>
          <w:szCs w:val="24"/>
        </w:rPr>
        <w:t xml:space="preserve">Commission, </w:t>
      </w:r>
      <w:r>
        <w:rPr>
          <w:rFonts w:ascii="Times New Roman" w:hAnsi="Times New Roman" w:cs="Times New Roman"/>
          <w:i/>
          <w:sz w:val="24"/>
          <w:szCs w:val="24"/>
        </w:rPr>
        <w:t xml:space="preserve">Executive Summary of the </w:t>
      </w:r>
      <w:r w:rsidRPr="0024544E">
        <w:rPr>
          <w:rFonts w:ascii="Times New Roman" w:hAnsi="Times New Roman" w:cs="Times New Roman"/>
          <w:i/>
          <w:sz w:val="24"/>
          <w:szCs w:val="24"/>
        </w:rPr>
        <w:t>Evaluation of Directive 96/9/EC on the legal protection of databases</w:t>
      </w:r>
      <w:r w:rsidRPr="0024544E">
        <w:rPr>
          <w:rFonts w:ascii="Times New Roman" w:hAnsi="Times New Roman" w:cs="Times New Roman"/>
          <w:sz w:val="24"/>
          <w:szCs w:val="24"/>
        </w:rPr>
        <w:t xml:space="preserve"> [SWD </w:t>
      </w:r>
      <w:r>
        <w:rPr>
          <w:rFonts w:ascii="Times New Roman" w:hAnsi="Times New Roman" w:cs="Times New Roman"/>
          <w:sz w:val="24"/>
          <w:szCs w:val="24"/>
        </w:rPr>
        <w:t>(</w:t>
      </w:r>
      <w:r w:rsidRPr="0024544E">
        <w:rPr>
          <w:rFonts w:ascii="Times New Roman" w:hAnsi="Times New Roman" w:cs="Times New Roman"/>
          <w:sz w:val="24"/>
          <w:szCs w:val="24"/>
        </w:rPr>
        <w:t>2018</w:t>
      </w:r>
      <w:r>
        <w:rPr>
          <w:rFonts w:ascii="Times New Roman" w:hAnsi="Times New Roman" w:cs="Times New Roman"/>
          <w:sz w:val="24"/>
          <w:szCs w:val="24"/>
        </w:rPr>
        <w:t>)</w:t>
      </w:r>
      <w:r w:rsidRPr="0024544E">
        <w:rPr>
          <w:rFonts w:ascii="Times New Roman" w:hAnsi="Times New Roman" w:cs="Times New Roman"/>
          <w:sz w:val="24"/>
          <w:szCs w:val="24"/>
        </w:rPr>
        <w:t xml:space="preserve"> 146 final</w:t>
      </w:r>
      <w:r>
        <w:rPr>
          <w:rFonts w:ascii="Times New Roman" w:hAnsi="Times New Roman" w:cs="Times New Roman"/>
          <w:sz w:val="24"/>
          <w:szCs w:val="24"/>
        </w:rPr>
        <w:t>]</w:t>
      </w:r>
      <w:r w:rsidRPr="0024544E">
        <w:rPr>
          <w:rFonts w:ascii="Times New Roman" w:hAnsi="Times New Roman" w:cs="Times New Roman"/>
          <w:sz w:val="24"/>
          <w:szCs w:val="24"/>
        </w:rPr>
        <w:t>, Brussels, 2018</w:t>
      </w:r>
      <w:r w:rsidR="00D20F2E">
        <w:rPr>
          <w:rFonts w:ascii="Times New Roman" w:hAnsi="Times New Roman" w:cs="Times New Roman"/>
          <w:sz w:val="24"/>
          <w:szCs w:val="24"/>
        </w:rPr>
        <w:t>.</w:t>
      </w:r>
    </w:p>
    <w:p w14:paraId="62E70EEF" w14:textId="2EF1EFAD" w:rsidR="003A08F7" w:rsidRDefault="003A08F7" w:rsidP="003A08F7">
      <w:pPr>
        <w:spacing w:after="0" w:line="240" w:lineRule="auto"/>
        <w:jc w:val="both"/>
        <w:rPr>
          <w:rFonts w:ascii="Times New Roman" w:hAnsi="Times New Roman" w:cs="Times New Roman"/>
          <w:sz w:val="24"/>
          <w:szCs w:val="24"/>
        </w:rPr>
      </w:pPr>
      <w:r w:rsidRPr="002C789A">
        <w:rPr>
          <w:rFonts w:ascii="Times New Roman" w:hAnsi="Times New Roman" w:cs="Times New Roman"/>
          <w:sz w:val="24"/>
          <w:szCs w:val="24"/>
        </w:rPr>
        <w:t>European Commission, Evaluation of the Directive 96/9/EC on the legal protection of databases [</w:t>
      </w:r>
      <w:proofErr w:type="gramStart"/>
      <w:r w:rsidRPr="002C789A">
        <w:rPr>
          <w:rFonts w:ascii="Times New Roman" w:hAnsi="Times New Roman" w:cs="Times New Roman"/>
          <w:sz w:val="24"/>
          <w:szCs w:val="24"/>
        </w:rPr>
        <w:t>SWD(</w:t>
      </w:r>
      <w:proofErr w:type="gramEnd"/>
      <w:r w:rsidRPr="002C789A">
        <w:rPr>
          <w:rFonts w:ascii="Times New Roman" w:hAnsi="Times New Roman" w:cs="Times New Roman"/>
          <w:sz w:val="24"/>
          <w:szCs w:val="24"/>
        </w:rPr>
        <w:t>2018</w:t>
      </w:r>
      <w:r>
        <w:rPr>
          <w:rFonts w:ascii="Times New Roman" w:hAnsi="Times New Roman" w:cs="Times New Roman"/>
          <w:sz w:val="24"/>
          <w:szCs w:val="24"/>
        </w:rPr>
        <w:t>) 147 final], Brussels,</w:t>
      </w:r>
      <w:r w:rsidRPr="002C789A">
        <w:rPr>
          <w:rFonts w:ascii="Times New Roman" w:hAnsi="Times New Roman" w:cs="Times New Roman"/>
          <w:sz w:val="24"/>
          <w:szCs w:val="24"/>
        </w:rPr>
        <w:t xml:space="preserve"> 2018</w:t>
      </w:r>
      <w:r w:rsidR="00D20F2E">
        <w:rPr>
          <w:rFonts w:ascii="Times New Roman" w:hAnsi="Times New Roman" w:cs="Times New Roman"/>
          <w:sz w:val="24"/>
          <w:szCs w:val="24"/>
        </w:rPr>
        <w:t>.</w:t>
      </w:r>
    </w:p>
    <w:p w14:paraId="5534E048" w14:textId="12849917" w:rsidR="003A08F7" w:rsidRDefault="003A08F7" w:rsidP="003A08F7">
      <w:pPr>
        <w:spacing w:after="0" w:line="240" w:lineRule="auto"/>
        <w:jc w:val="both"/>
        <w:rPr>
          <w:rFonts w:ascii="Times New Roman" w:hAnsi="Times New Roman" w:cs="Times New Roman"/>
          <w:sz w:val="24"/>
          <w:szCs w:val="24"/>
        </w:rPr>
      </w:pPr>
      <w:r w:rsidRPr="005E785F">
        <w:rPr>
          <w:rFonts w:ascii="Times New Roman" w:hAnsi="Times New Roman" w:cs="Times New Roman"/>
          <w:sz w:val="24"/>
          <w:szCs w:val="24"/>
        </w:rPr>
        <w:t xml:space="preserve">European Commission, </w:t>
      </w:r>
      <w:r w:rsidRPr="005E785F">
        <w:rPr>
          <w:rFonts w:ascii="Times New Roman" w:hAnsi="Times New Roman" w:cs="Times New Roman"/>
          <w:i/>
          <w:sz w:val="24"/>
          <w:szCs w:val="24"/>
        </w:rPr>
        <w:t>White paper on Artificial Intelligence – A European approach to excellence and trust</w:t>
      </w:r>
      <w:r>
        <w:rPr>
          <w:rFonts w:ascii="Times New Roman" w:hAnsi="Times New Roman" w:cs="Times New Roman"/>
          <w:i/>
          <w:sz w:val="24"/>
          <w:szCs w:val="24"/>
        </w:rPr>
        <w:t xml:space="preserve"> </w:t>
      </w:r>
      <w:r w:rsidR="0032458C">
        <w:rPr>
          <w:rFonts w:ascii="Times New Roman" w:hAnsi="Times New Roman" w:cs="Times New Roman"/>
          <w:sz w:val="24"/>
          <w:szCs w:val="24"/>
        </w:rPr>
        <w:t>[</w:t>
      </w:r>
      <w:proofErr w:type="gramStart"/>
      <w:r w:rsidR="0032458C">
        <w:rPr>
          <w:rFonts w:ascii="Times New Roman" w:hAnsi="Times New Roman" w:cs="Times New Roman"/>
          <w:sz w:val="24"/>
          <w:szCs w:val="24"/>
        </w:rPr>
        <w:t>COM(</w:t>
      </w:r>
      <w:proofErr w:type="gramEnd"/>
      <w:r w:rsidR="0032458C">
        <w:rPr>
          <w:rFonts w:ascii="Times New Roman" w:hAnsi="Times New Roman" w:cs="Times New Roman"/>
          <w:sz w:val="24"/>
          <w:szCs w:val="24"/>
        </w:rPr>
        <w:t>2020) 65 final]</w:t>
      </w:r>
      <w:r w:rsidRPr="005E785F">
        <w:rPr>
          <w:rFonts w:ascii="Times New Roman" w:hAnsi="Times New Roman" w:cs="Times New Roman"/>
          <w:sz w:val="24"/>
          <w:szCs w:val="24"/>
        </w:rPr>
        <w:t>, Brussels</w:t>
      </w:r>
      <w:r w:rsidR="0032458C">
        <w:rPr>
          <w:rFonts w:ascii="Times New Roman" w:hAnsi="Times New Roman" w:cs="Times New Roman"/>
          <w:sz w:val="24"/>
          <w:szCs w:val="24"/>
        </w:rPr>
        <w:t>, 2020</w:t>
      </w:r>
      <w:r w:rsidR="00D20F2E">
        <w:rPr>
          <w:rFonts w:ascii="Times New Roman" w:hAnsi="Times New Roman" w:cs="Times New Roman"/>
          <w:sz w:val="24"/>
          <w:szCs w:val="24"/>
        </w:rPr>
        <w:t>.</w:t>
      </w:r>
    </w:p>
    <w:p w14:paraId="688D14DA" w14:textId="03F1C7A6" w:rsidR="003A08F7" w:rsidRDefault="003A08F7" w:rsidP="003A08F7">
      <w:pPr>
        <w:spacing w:after="0" w:line="240" w:lineRule="auto"/>
        <w:jc w:val="both"/>
        <w:rPr>
          <w:rFonts w:ascii="Times New Roman" w:hAnsi="Times New Roman" w:cs="Times New Roman"/>
          <w:sz w:val="24"/>
          <w:szCs w:val="24"/>
        </w:rPr>
      </w:pPr>
      <w:r w:rsidRPr="00672573">
        <w:rPr>
          <w:rFonts w:ascii="Times New Roman" w:hAnsi="Times New Roman" w:cs="Times New Roman"/>
          <w:sz w:val="24"/>
          <w:szCs w:val="24"/>
        </w:rPr>
        <w:t>European Commission,</w:t>
      </w:r>
      <w:r w:rsidRPr="00672573">
        <w:rPr>
          <w:rFonts w:ascii="Times New Roman" w:hAnsi="Times New Roman" w:cs="Times New Roman"/>
          <w:i/>
          <w:sz w:val="24"/>
          <w:szCs w:val="24"/>
        </w:rPr>
        <w:t xml:space="preserve"> Communication from the Commission to the European Parliament, the Council, the European Economic and Social Committee and the Committee of the Regions – A European strategy for data </w:t>
      </w:r>
      <w:r>
        <w:rPr>
          <w:rFonts w:ascii="Times New Roman" w:hAnsi="Times New Roman" w:cs="Times New Roman"/>
          <w:sz w:val="24"/>
          <w:szCs w:val="24"/>
        </w:rPr>
        <w:t>[</w:t>
      </w:r>
      <w:proofErr w:type="gramStart"/>
      <w:r>
        <w:rPr>
          <w:rFonts w:ascii="Times New Roman" w:hAnsi="Times New Roman" w:cs="Times New Roman"/>
          <w:sz w:val="24"/>
          <w:szCs w:val="24"/>
        </w:rPr>
        <w:t>COM(</w:t>
      </w:r>
      <w:proofErr w:type="gramEnd"/>
      <w:r>
        <w:rPr>
          <w:rFonts w:ascii="Times New Roman" w:hAnsi="Times New Roman" w:cs="Times New Roman"/>
          <w:sz w:val="24"/>
          <w:szCs w:val="24"/>
        </w:rPr>
        <w:t>2020) 66 final], Brussel</w:t>
      </w:r>
      <w:r w:rsidRPr="00672573">
        <w:rPr>
          <w:rFonts w:ascii="Times New Roman" w:hAnsi="Times New Roman" w:cs="Times New Roman"/>
          <w:sz w:val="24"/>
          <w:szCs w:val="24"/>
        </w:rPr>
        <w:t>s, 2020</w:t>
      </w:r>
      <w:r w:rsidR="00D20F2E">
        <w:rPr>
          <w:rFonts w:ascii="Times New Roman" w:hAnsi="Times New Roman" w:cs="Times New Roman"/>
          <w:sz w:val="24"/>
          <w:szCs w:val="24"/>
        </w:rPr>
        <w:t>.</w:t>
      </w:r>
    </w:p>
    <w:p w14:paraId="0765E237" w14:textId="1C833A6B" w:rsidR="003A08F7" w:rsidRDefault="003A08F7" w:rsidP="003A08F7">
      <w:pPr>
        <w:spacing w:after="0" w:line="240" w:lineRule="auto"/>
        <w:jc w:val="both"/>
        <w:rPr>
          <w:rFonts w:ascii="Times New Roman" w:hAnsi="Times New Roman" w:cs="Times New Roman"/>
          <w:sz w:val="24"/>
          <w:szCs w:val="24"/>
        </w:rPr>
      </w:pPr>
      <w:r w:rsidRPr="002931EA">
        <w:rPr>
          <w:rFonts w:ascii="Times New Roman" w:hAnsi="Times New Roman" w:cs="Times New Roman"/>
          <w:sz w:val="24"/>
          <w:szCs w:val="24"/>
        </w:rPr>
        <w:t xml:space="preserve">European Commission, </w:t>
      </w:r>
      <w:r w:rsidRPr="002931EA">
        <w:rPr>
          <w:rFonts w:ascii="Times New Roman" w:hAnsi="Times New Roman" w:cs="Times New Roman"/>
          <w:i/>
          <w:sz w:val="24"/>
          <w:szCs w:val="24"/>
        </w:rPr>
        <w:t>European data strategy – Making the EU a role model for a society empowered by data</w:t>
      </w:r>
      <w:r>
        <w:rPr>
          <w:rFonts w:ascii="Times New Roman" w:hAnsi="Times New Roman" w:cs="Times New Roman"/>
          <w:sz w:val="24"/>
          <w:szCs w:val="24"/>
        </w:rPr>
        <w:t xml:space="preserve">, available at </w:t>
      </w:r>
      <w:hyperlink r:id="rId21" w:history="1">
        <w:r w:rsidRPr="002931EA">
          <w:rPr>
            <w:rStyle w:val="Hyperlink"/>
            <w:rFonts w:ascii="Times New Roman" w:hAnsi="Times New Roman" w:cs="Times New Roman"/>
            <w:i/>
            <w:sz w:val="24"/>
            <w:szCs w:val="24"/>
          </w:rPr>
          <w:t>https://ec.europa.eu/info/strategy/priorities-2019-2024/europe-fit-digital-age/european-data-strategy</w:t>
        </w:r>
      </w:hyperlink>
      <w:r>
        <w:rPr>
          <w:rFonts w:ascii="Times New Roman" w:hAnsi="Times New Roman" w:cs="Times New Roman"/>
          <w:sz w:val="24"/>
          <w:szCs w:val="24"/>
        </w:rPr>
        <w:t>,</w:t>
      </w:r>
      <w:r w:rsidRPr="002931EA">
        <w:rPr>
          <w:rFonts w:ascii="Times New Roman" w:hAnsi="Times New Roman" w:cs="Times New Roman"/>
          <w:i/>
          <w:sz w:val="24"/>
          <w:szCs w:val="24"/>
        </w:rPr>
        <w:t xml:space="preserve"> </w:t>
      </w:r>
      <w:r>
        <w:rPr>
          <w:rFonts w:ascii="Times New Roman" w:hAnsi="Times New Roman" w:cs="Times New Roman"/>
          <w:sz w:val="24"/>
          <w:szCs w:val="24"/>
        </w:rPr>
        <w:t>last access</w:t>
      </w:r>
      <w:r w:rsidR="00D20F2E">
        <w:rPr>
          <w:rFonts w:ascii="Times New Roman" w:hAnsi="Times New Roman" w:cs="Times New Roman"/>
          <w:sz w:val="24"/>
          <w:szCs w:val="24"/>
        </w:rPr>
        <w:t>ed</w:t>
      </w:r>
      <w:r>
        <w:rPr>
          <w:rFonts w:ascii="Times New Roman" w:hAnsi="Times New Roman" w:cs="Times New Roman"/>
          <w:sz w:val="24"/>
          <w:szCs w:val="24"/>
        </w:rPr>
        <w:t xml:space="preserve"> 29 April 2020</w:t>
      </w:r>
      <w:r w:rsidR="00D20F2E">
        <w:rPr>
          <w:rFonts w:ascii="Times New Roman" w:hAnsi="Times New Roman" w:cs="Times New Roman"/>
          <w:sz w:val="24"/>
          <w:szCs w:val="24"/>
        </w:rPr>
        <w:t>.</w:t>
      </w:r>
    </w:p>
    <w:p w14:paraId="30A56C26" w14:textId="1B56310A" w:rsidR="00F02A7B" w:rsidRDefault="00427F12" w:rsidP="003A08F7">
      <w:pPr>
        <w:spacing w:after="0" w:line="240" w:lineRule="auto"/>
        <w:jc w:val="both"/>
        <w:rPr>
          <w:rFonts w:ascii="Times New Roman" w:hAnsi="Times New Roman" w:cs="Times New Roman"/>
          <w:sz w:val="24"/>
          <w:szCs w:val="24"/>
        </w:rPr>
      </w:pPr>
      <w:r w:rsidRPr="006F2378">
        <w:rPr>
          <w:rFonts w:ascii="Times New Roman" w:hAnsi="Times New Roman" w:cs="Times New Roman"/>
          <w:sz w:val="24"/>
          <w:szCs w:val="24"/>
        </w:rPr>
        <w:t xml:space="preserve">ISO, </w:t>
      </w:r>
      <w:r w:rsidRPr="006F2378">
        <w:rPr>
          <w:rFonts w:ascii="Times New Roman" w:hAnsi="Times New Roman" w:cs="Times New Roman"/>
          <w:i/>
          <w:sz w:val="24"/>
          <w:szCs w:val="24"/>
        </w:rPr>
        <w:t>ISO/IEC 2382-28:1995(</w:t>
      </w:r>
      <w:proofErr w:type="spellStart"/>
      <w:r w:rsidRPr="006F2378">
        <w:rPr>
          <w:rFonts w:ascii="Times New Roman" w:hAnsi="Times New Roman" w:cs="Times New Roman"/>
          <w:i/>
          <w:sz w:val="24"/>
          <w:szCs w:val="24"/>
        </w:rPr>
        <w:t>en</w:t>
      </w:r>
      <w:proofErr w:type="spellEnd"/>
      <w:r w:rsidRPr="006F2378">
        <w:rPr>
          <w:rFonts w:ascii="Times New Roman" w:hAnsi="Times New Roman" w:cs="Times New Roman"/>
          <w:i/>
          <w:sz w:val="24"/>
          <w:szCs w:val="24"/>
        </w:rPr>
        <w:t xml:space="preserve">) Information technology — Vocabulary — Part 28: Artificial intelligence — Basic concepts and expert systems </w:t>
      </w:r>
      <w:r w:rsidRPr="006F2378">
        <w:rPr>
          <w:rFonts w:ascii="Times New Roman" w:hAnsi="Times New Roman" w:cs="Times New Roman"/>
          <w:sz w:val="24"/>
          <w:szCs w:val="24"/>
        </w:rPr>
        <w:t xml:space="preserve">– </w:t>
      </w:r>
      <w:r w:rsidRPr="006F2378">
        <w:rPr>
          <w:rFonts w:ascii="Times New Roman" w:hAnsi="Times New Roman" w:cs="Times New Roman"/>
          <w:i/>
          <w:sz w:val="24"/>
          <w:szCs w:val="24"/>
        </w:rPr>
        <w:t>Voice 28.01.02 Artificial Intelligence</w:t>
      </w:r>
      <w:r w:rsidRPr="006F2378">
        <w:rPr>
          <w:rFonts w:ascii="Times New Roman" w:hAnsi="Times New Roman" w:cs="Times New Roman"/>
          <w:sz w:val="24"/>
          <w:szCs w:val="24"/>
        </w:rPr>
        <w:t xml:space="preserve">, available at </w:t>
      </w:r>
      <w:hyperlink r:id="rId22" w:anchor="iso:std:iso-iec:2382:-28:ed-1:v1:en" w:history="1">
        <w:r w:rsidRPr="006F2378">
          <w:rPr>
            <w:rStyle w:val="Hyperlink"/>
            <w:rFonts w:ascii="Times New Roman" w:hAnsi="Times New Roman" w:cs="Times New Roman"/>
            <w:sz w:val="24"/>
            <w:szCs w:val="24"/>
          </w:rPr>
          <w:t>https://www.iso.org/obp/ui/#iso:std:iso-iec:2382:-28:ed-1:v1:en</w:t>
        </w:r>
      </w:hyperlink>
      <w:r w:rsidRPr="006F2378">
        <w:rPr>
          <w:rFonts w:ascii="Times New Roman" w:hAnsi="Times New Roman" w:cs="Times New Roman"/>
          <w:sz w:val="24"/>
          <w:szCs w:val="24"/>
        </w:rPr>
        <w:t>, last access</w:t>
      </w:r>
      <w:r w:rsidR="00D20F2E">
        <w:rPr>
          <w:rFonts w:ascii="Times New Roman" w:hAnsi="Times New Roman" w:cs="Times New Roman"/>
          <w:sz w:val="24"/>
          <w:szCs w:val="24"/>
        </w:rPr>
        <w:t>ed</w:t>
      </w:r>
      <w:r w:rsidRPr="006F2378">
        <w:rPr>
          <w:rFonts w:ascii="Times New Roman" w:hAnsi="Times New Roman" w:cs="Times New Roman"/>
          <w:sz w:val="24"/>
          <w:szCs w:val="24"/>
        </w:rPr>
        <w:t xml:space="preserve"> 21 May 2020</w:t>
      </w:r>
      <w:r w:rsidR="00D20F2E">
        <w:rPr>
          <w:rFonts w:ascii="Times New Roman" w:hAnsi="Times New Roman" w:cs="Times New Roman"/>
          <w:sz w:val="24"/>
          <w:szCs w:val="24"/>
        </w:rPr>
        <w:t>.</w:t>
      </w:r>
    </w:p>
    <w:p w14:paraId="1741A0B4" w14:textId="46EE83D6" w:rsidR="00F02A7B" w:rsidRDefault="00F02A7B" w:rsidP="003A08F7">
      <w:pPr>
        <w:spacing w:after="0" w:line="240" w:lineRule="auto"/>
        <w:jc w:val="both"/>
        <w:rPr>
          <w:rFonts w:ascii="Times New Roman" w:hAnsi="Times New Roman" w:cs="Times New Roman"/>
          <w:sz w:val="24"/>
          <w:szCs w:val="24"/>
        </w:rPr>
      </w:pPr>
    </w:p>
    <w:p w14:paraId="3695613E" w14:textId="77777777" w:rsidR="003A08F7" w:rsidRPr="00605F0F" w:rsidRDefault="003A08F7" w:rsidP="00605F0F">
      <w:pPr>
        <w:spacing w:after="0" w:line="240" w:lineRule="auto"/>
        <w:jc w:val="both"/>
        <w:rPr>
          <w:rFonts w:ascii="Times New Roman" w:hAnsi="Times New Roman" w:cs="Times New Roman"/>
          <w:sz w:val="24"/>
          <w:szCs w:val="24"/>
        </w:rPr>
      </w:pPr>
    </w:p>
    <w:sectPr w:rsidR="003A08F7" w:rsidRPr="00605F0F" w:rsidSect="00317546">
      <w:footnotePr>
        <w:numRestart w:val="eachSect"/>
      </w:footnotePr>
      <w:type w:val="continuous"/>
      <w:pgSz w:w="12240" w:h="15840"/>
      <w:pgMar w:top="1417" w:right="1325"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26200" w14:textId="77777777" w:rsidR="00194B80" w:rsidRDefault="00194B80" w:rsidP="00847E52">
      <w:pPr>
        <w:spacing w:after="0" w:line="240" w:lineRule="auto"/>
      </w:pPr>
      <w:r>
        <w:separator/>
      </w:r>
    </w:p>
  </w:endnote>
  <w:endnote w:type="continuationSeparator" w:id="0">
    <w:p w14:paraId="5B873C9A" w14:textId="77777777" w:rsidR="00194B80" w:rsidRDefault="00194B80" w:rsidP="0084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825249"/>
      <w:docPartObj>
        <w:docPartGallery w:val="Page Numbers (Bottom of Page)"/>
        <w:docPartUnique/>
      </w:docPartObj>
    </w:sdtPr>
    <w:sdtEndPr>
      <w:rPr>
        <w:rFonts w:ascii="Times New Roman" w:hAnsi="Times New Roman" w:cs="Times New Roman"/>
        <w:sz w:val="24"/>
        <w:szCs w:val="24"/>
      </w:rPr>
    </w:sdtEndPr>
    <w:sdtContent>
      <w:p w14:paraId="29C74EBB" w14:textId="2CD3EE40" w:rsidR="00491380" w:rsidRPr="00DC7A09" w:rsidRDefault="00491380">
        <w:pPr>
          <w:pStyle w:val="Footer"/>
          <w:jc w:val="center"/>
          <w:rPr>
            <w:rFonts w:ascii="Times New Roman" w:hAnsi="Times New Roman" w:cs="Times New Roman"/>
            <w:sz w:val="24"/>
            <w:szCs w:val="24"/>
          </w:rPr>
        </w:pPr>
        <w:r w:rsidRPr="00DC7A09">
          <w:rPr>
            <w:rFonts w:ascii="Times New Roman" w:hAnsi="Times New Roman" w:cs="Times New Roman"/>
            <w:sz w:val="24"/>
            <w:szCs w:val="24"/>
          </w:rPr>
          <w:fldChar w:fldCharType="begin"/>
        </w:r>
        <w:r w:rsidRPr="00DC7A09">
          <w:rPr>
            <w:rFonts w:ascii="Times New Roman" w:hAnsi="Times New Roman" w:cs="Times New Roman"/>
            <w:sz w:val="24"/>
            <w:szCs w:val="24"/>
          </w:rPr>
          <w:instrText>PAGE   \* MERGEFORMAT</w:instrText>
        </w:r>
        <w:r w:rsidRPr="00DC7A09">
          <w:rPr>
            <w:rFonts w:ascii="Times New Roman" w:hAnsi="Times New Roman" w:cs="Times New Roman"/>
            <w:sz w:val="24"/>
            <w:szCs w:val="24"/>
          </w:rPr>
          <w:fldChar w:fldCharType="separate"/>
        </w:r>
        <w:r w:rsidR="00DD0719" w:rsidRPr="00DD0719">
          <w:rPr>
            <w:rFonts w:ascii="Times New Roman" w:hAnsi="Times New Roman" w:cs="Times New Roman"/>
            <w:noProof/>
            <w:sz w:val="24"/>
            <w:szCs w:val="24"/>
            <w:lang w:val="it-IT"/>
          </w:rPr>
          <w:t>16</w:t>
        </w:r>
        <w:r w:rsidRPr="00DC7A09">
          <w:rPr>
            <w:rFonts w:ascii="Times New Roman" w:hAnsi="Times New Roman" w:cs="Times New Roman"/>
            <w:sz w:val="24"/>
            <w:szCs w:val="24"/>
          </w:rPr>
          <w:fldChar w:fldCharType="end"/>
        </w:r>
      </w:p>
    </w:sdtContent>
  </w:sdt>
  <w:p w14:paraId="263F0FDA" w14:textId="77777777" w:rsidR="00491380" w:rsidRDefault="0049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C450" w14:textId="77777777" w:rsidR="00194B80" w:rsidRDefault="00194B80" w:rsidP="00847E52">
      <w:pPr>
        <w:spacing w:after="0" w:line="240" w:lineRule="auto"/>
      </w:pPr>
      <w:r>
        <w:separator/>
      </w:r>
    </w:p>
  </w:footnote>
  <w:footnote w:type="continuationSeparator" w:id="0">
    <w:p w14:paraId="0ED416C4" w14:textId="77777777" w:rsidR="00194B80" w:rsidRDefault="00194B80" w:rsidP="00847E52">
      <w:pPr>
        <w:spacing w:after="0" w:line="240" w:lineRule="auto"/>
      </w:pPr>
      <w:r>
        <w:continuationSeparator/>
      </w:r>
    </w:p>
  </w:footnote>
  <w:footnote w:id="1">
    <w:p w14:paraId="2CBD63EE" w14:textId="3E301F7B" w:rsidR="00491380" w:rsidRPr="006C15A0" w:rsidRDefault="00491380">
      <w:pPr>
        <w:pStyle w:val="FootnoteText"/>
        <w:rPr>
          <w:rFonts w:ascii="Times New Roman" w:hAnsi="Times New Roman" w:cs="Times New Roman"/>
        </w:rPr>
      </w:pPr>
      <w:r w:rsidRPr="006C15A0">
        <w:rPr>
          <w:rStyle w:val="FootnoteReference"/>
          <w:rFonts w:ascii="Times New Roman" w:hAnsi="Times New Roman" w:cs="Times New Roman"/>
        </w:rPr>
        <w:t>*</w:t>
      </w:r>
      <w:r w:rsidRPr="006C15A0">
        <w:rPr>
          <w:rFonts w:ascii="Times New Roman" w:hAnsi="Times New Roman" w:cs="Times New Roman"/>
        </w:rPr>
        <w:t xml:space="preserve">The author is indebted to </w:t>
      </w:r>
      <w:r>
        <w:rPr>
          <w:rFonts w:ascii="Times New Roman" w:hAnsi="Times New Roman" w:cs="Times New Roman"/>
        </w:rPr>
        <w:t>P</w:t>
      </w:r>
      <w:r w:rsidRPr="006C15A0">
        <w:rPr>
          <w:rFonts w:ascii="Times New Roman" w:hAnsi="Times New Roman" w:cs="Times New Roman"/>
        </w:rPr>
        <w:t xml:space="preserve">rof. </w:t>
      </w:r>
      <w:r w:rsidRPr="006A50FD">
        <w:rPr>
          <w:rFonts w:ascii="Times New Roman" w:hAnsi="Times New Roman" w:cs="Times New Roman"/>
          <w:lang w:val="it-IT"/>
        </w:rPr>
        <w:t xml:space="preserve">Guido Noto La Diega, Prof. </w:t>
      </w:r>
      <w:r w:rsidRPr="006C15A0">
        <w:rPr>
          <w:rFonts w:ascii="Times New Roman" w:hAnsi="Times New Roman" w:cs="Times New Roman"/>
        </w:rPr>
        <w:t xml:space="preserve">Alessandro </w:t>
      </w:r>
      <w:proofErr w:type="spellStart"/>
      <w:r w:rsidRPr="006C15A0">
        <w:rPr>
          <w:rFonts w:ascii="Times New Roman" w:hAnsi="Times New Roman" w:cs="Times New Roman"/>
        </w:rPr>
        <w:t>Cogo</w:t>
      </w:r>
      <w:proofErr w:type="spellEnd"/>
      <w:r w:rsidRPr="006C15A0">
        <w:rPr>
          <w:rFonts w:ascii="Times New Roman" w:hAnsi="Times New Roman" w:cs="Times New Roman"/>
        </w:rPr>
        <w:t xml:space="preserve"> and Dr. Bryan Khan for their helpful suggestions. Opinions and errors are solely the </w:t>
      </w:r>
      <w:proofErr w:type="gramStart"/>
      <w:r w:rsidRPr="006C15A0">
        <w:rPr>
          <w:rFonts w:ascii="Times New Roman" w:hAnsi="Times New Roman" w:cs="Times New Roman"/>
        </w:rPr>
        <w:t>author’s</w:t>
      </w:r>
      <w:proofErr w:type="gramEnd"/>
      <w:r w:rsidRPr="006C15A0">
        <w:rPr>
          <w:rFonts w:ascii="Times New Roman" w:hAnsi="Times New Roman" w:cs="Times New Roman"/>
        </w:rPr>
        <w:t xml:space="preserve">. </w:t>
      </w:r>
    </w:p>
  </w:footnote>
  <w:footnote w:id="2">
    <w:p w14:paraId="567857C0" w14:textId="1138A5B7" w:rsidR="00491380" w:rsidRPr="00E5094B" w:rsidRDefault="00491380" w:rsidP="009B6433">
      <w:pPr>
        <w:pStyle w:val="Nota"/>
        <w:rPr>
          <w:szCs w:val="20"/>
        </w:rPr>
      </w:pPr>
      <w:r w:rsidRPr="00E5094B">
        <w:rPr>
          <w:rStyle w:val="FootnoteReference"/>
          <w:szCs w:val="20"/>
        </w:rPr>
        <w:footnoteRef/>
      </w:r>
      <w:r w:rsidRPr="00E5094B">
        <w:rPr>
          <w:szCs w:val="20"/>
        </w:rPr>
        <w:t xml:space="preserve"> European Commission, </w:t>
      </w:r>
      <w:r w:rsidRPr="006F2378">
        <w:rPr>
          <w:i/>
          <w:szCs w:val="20"/>
        </w:rPr>
        <w:t>Communication from the Commission to the European Parliament, the Council, the European Economic and Social Committee and the Committee of the Regions – A European strategy for data</w:t>
      </w:r>
      <w:r w:rsidRPr="00E5094B">
        <w:rPr>
          <w:szCs w:val="20"/>
        </w:rPr>
        <w:t xml:space="preserve"> [</w:t>
      </w:r>
      <w:proofErr w:type="gramStart"/>
      <w:r w:rsidRPr="00E5094B">
        <w:rPr>
          <w:szCs w:val="20"/>
        </w:rPr>
        <w:t>COM(</w:t>
      </w:r>
      <w:proofErr w:type="gramEnd"/>
      <w:r w:rsidRPr="00E5094B">
        <w:rPr>
          <w:szCs w:val="20"/>
        </w:rPr>
        <w:t xml:space="preserve">2020) 66 final], Brussels, 2020, 1. </w:t>
      </w:r>
    </w:p>
  </w:footnote>
  <w:footnote w:id="3">
    <w:p w14:paraId="61CB344B" w14:textId="57347EEF" w:rsidR="00491380" w:rsidRPr="00E5094B" w:rsidRDefault="00491380" w:rsidP="009B6433">
      <w:pPr>
        <w:pStyle w:val="Nota"/>
        <w:rPr>
          <w:szCs w:val="20"/>
        </w:rPr>
      </w:pPr>
      <w:r w:rsidRPr="00E5094B">
        <w:rPr>
          <w:rStyle w:val="FootnoteReference"/>
          <w:szCs w:val="20"/>
        </w:rPr>
        <w:footnoteRef/>
      </w:r>
      <w:r w:rsidRPr="00E5094B">
        <w:rPr>
          <w:szCs w:val="20"/>
        </w:rPr>
        <w:t xml:space="preserve"> Up to 175 zettabytes (one zettabytes </w:t>
      </w:r>
      <w:r>
        <w:rPr>
          <w:szCs w:val="20"/>
        </w:rPr>
        <w:t>equals</w:t>
      </w:r>
      <w:r w:rsidRPr="00E5094B">
        <w:rPr>
          <w:szCs w:val="20"/>
        </w:rPr>
        <w:t xml:space="preserve"> 10</w:t>
      </w:r>
      <w:r w:rsidRPr="00E5094B">
        <w:rPr>
          <w:szCs w:val="20"/>
          <w:vertAlign w:val="superscript"/>
        </w:rPr>
        <w:t>21</w:t>
      </w:r>
      <w:r w:rsidRPr="00E5094B">
        <w:rPr>
          <w:szCs w:val="20"/>
        </w:rPr>
        <w:t xml:space="preserve"> bytes) in 2025. See </w:t>
      </w:r>
      <w:proofErr w:type="spellStart"/>
      <w:r w:rsidRPr="00E5094B">
        <w:rPr>
          <w:i/>
          <w:szCs w:val="20"/>
        </w:rPr>
        <w:t>ivi</w:t>
      </w:r>
      <w:proofErr w:type="spellEnd"/>
      <w:r w:rsidRPr="00E5094B">
        <w:rPr>
          <w:szCs w:val="20"/>
        </w:rPr>
        <w:t xml:space="preserve">, 2. </w:t>
      </w:r>
    </w:p>
  </w:footnote>
  <w:footnote w:id="4">
    <w:p w14:paraId="4BA20F64" w14:textId="2596894F" w:rsidR="00491380" w:rsidRPr="00E5094B" w:rsidRDefault="00491380" w:rsidP="009B6433">
      <w:pPr>
        <w:pStyle w:val="Nota"/>
        <w:rPr>
          <w:szCs w:val="20"/>
        </w:rPr>
      </w:pPr>
      <w:r w:rsidRPr="00E5094B">
        <w:rPr>
          <w:rStyle w:val="FootnoteReference"/>
          <w:szCs w:val="20"/>
        </w:rPr>
        <w:footnoteRef/>
      </w:r>
      <w:r w:rsidRPr="00E5094B">
        <w:rPr>
          <w:szCs w:val="20"/>
          <w:vertAlign w:val="superscript"/>
        </w:rPr>
        <w:t xml:space="preserve"> </w:t>
      </w:r>
      <w:r w:rsidRPr="00E5094B">
        <w:rPr>
          <w:szCs w:val="20"/>
        </w:rPr>
        <w:t xml:space="preserve">See European Commission, </w:t>
      </w:r>
      <w:r w:rsidRPr="00E5094B">
        <w:rPr>
          <w:i/>
          <w:szCs w:val="20"/>
        </w:rPr>
        <w:t>European data strategy – Making the EU a role model for a society empowered by data</w:t>
      </w:r>
      <w:r w:rsidRPr="00E5094B">
        <w:rPr>
          <w:szCs w:val="20"/>
        </w:rPr>
        <w:t xml:space="preserve">, available at </w:t>
      </w:r>
      <w:hyperlink r:id="rId1" w:history="1">
        <w:r w:rsidRPr="004510DE">
          <w:rPr>
            <w:rStyle w:val="Hyperlink"/>
            <w:szCs w:val="20"/>
          </w:rPr>
          <w:t>https://ec.europa.eu/info/strategy/priorities-2019-2024/europe-fit-digital-age/european-data-strategy</w:t>
        </w:r>
      </w:hyperlink>
      <w:r w:rsidRPr="00E5094B">
        <w:rPr>
          <w:szCs w:val="20"/>
        </w:rPr>
        <w:t>, last access</w:t>
      </w:r>
      <w:r>
        <w:rPr>
          <w:szCs w:val="20"/>
        </w:rPr>
        <w:t>ed</w:t>
      </w:r>
      <w:r w:rsidRPr="00E5094B">
        <w:rPr>
          <w:szCs w:val="20"/>
        </w:rPr>
        <w:t xml:space="preserve"> 29 April 2020.  </w:t>
      </w:r>
    </w:p>
  </w:footnote>
  <w:footnote w:id="5">
    <w:p w14:paraId="2335499E" w14:textId="1A8700AA" w:rsidR="00491380" w:rsidRPr="00E5094B" w:rsidRDefault="00491380" w:rsidP="009B6433">
      <w:pPr>
        <w:pStyle w:val="Nota"/>
        <w:rPr>
          <w:szCs w:val="20"/>
        </w:rPr>
      </w:pPr>
      <w:r w:rsidRPr="00E5094B">
        <w:rPr>
          <w:rStyle w:val="FootnoteReference"/>
          <w:szCs w:val="20"/>
        </w:rPr>
        <w:footnoteRef/>
      </w:r>
      <w:r w:rsidRPr="00E5094B">
        <w:rPr>
          <w:szCs w:val="20"/>
          <w:vertAlign w:val="superscript"/>
        </w:rPr>
        <w:t xml:space="preserve"> </w:t>
      </w:r>
      <w:r w:rsidRPr="00E5094B">
        <w:rPr>
          <w:szCs w:val="20"/>
        </w:rPr>
        <w:t>Directive 96/9/EC of the European Parliament and of the Council of 11 March 1996 on the legal protection of databases, 1996, OJ L 77/20, Articles 7-11.</w:t>
      </w:r>
    </w:p>
  </w:footnote>
  <w:footnote w:id="6">
    <w:p w14:paraId="460D0043" w14:textId="2CBA59BC" w:rsidR="00491380" w:rsidRPr="006F2378" w:rsidRDefault="00491380" w:rsidP="006F2378">
      <w:pPr>
        <w:pStyle w:val="Nota"/>
        <w:rPr>
          <w:lang w:val="it-IT"/>
        </w:rPr>
      </w:pPr>
      <w:r w:rsidRPr="005E289F">
        <w:rPr>
          <w:rStyle w:val="FootnoteReference"/>
        </w:rPr>
        <w:footnoteRef/>
      </w:r>
      <w:r w:rsidRPr="006F2378">
        <w:rPr>
          <w:lang w:val="it-IT"/>
        </w:rPr>
        <w:t xml:space="preserve"> </w:t>
      </w:r>
      <w:r>
        <w:rPr>
          <w:lang w:val="it-IT"/>
        </w:rPr>
        <w:t>V. Falce</w:t>
      </w:r>
      <w:r w:rsidRPr="00E5094B">
        <w:rPr>
          <w:szCs w:val="20"/>
          <w:lang w:val="it-IT"/>
        </w:rPr>
        <w:t xml:space="preserve">, </w:t>
      </w:r>
      <w:r w:rsidRPr="00E5094B">
        <w:rPr>
          <w:i/>
          <w:szCs w:val="20"/>
          <w:lang w:val="it-IT"/>
        </w:rPr>
        <w:t>L’”insostenibile leggerezza” delle regole sulle banche dati nell’Unione dell’innovazione</w:t>
      </w:r>
      <w:r w:rsidRPr="00E5094B">
        <w:rPr>
          <w:szCs w:val="20"/>
          <w:lang w:val="it-IT"/>
        </w:rPr>
        <w:t xml:space="preserve">, in </w:t>
      </w:r>
      <w:r w:rsidRPr="00E5094B">
        <w:rPr>
          <w:i/>
          <w:szCs w:val="20"/>
          <w:lang w:val="it-IT"/>
        </w:rPr>
        <w:t>Diritto Industriale</w:t>
      </w:r>
      <w:r>
        <w:rPr>
          <w:szCs w:val="20"/>
          <w:lang w:val="it-IT"/>
        </w:rPr>
        <w:t xml:space="preserve"> 2008, 399-400.</w:t>
      </w:r>
      <w:r>
        <w:rPr>
          <w:lang w:val="it-IT"/>
        </w:rPr>
        <w:t xml:space="preserve"> </w:t>
      </w:r>
    </w:p>
  </w:footnote>
  <w:footnote w:id="7">
    <w:p w14:paraId="489AC756" w14:textId="782D5F4B" w:rsidR="00491380" w:rsidRPr="00E5094B" w:rsidRDefault="00491380" w:rsidP="009B6433">
      <w:pPr>
        <w:pStyle w:val="Nota"/>
        <w:rPr>
          <w:szCs w:val="20"/>
        </w:rPr>
      </w:pPr>
      <w:r w:rsidRPr="00E5094B">
        <w:rPr>
          <w:rStyle w:val="FootnoteReference"/>
          <w:szCs w:val="20"/>
        </w:rPr>
        <w:footnoteRef/>
      </w:r>
      <w:r w:rsidRPr="00E5094B">
        <w:rPr>
          <w:szCs w:val="20"/>
        </w:rPr>
        <w:t xml:space="preserve"> European Commission, Executive Summary of the Evaluation of Directive 96/9/EC on the legal protection of databases [SWD (2018) 146 final], Brussels, </w:t>
      </w:r>
      <w:proofErr w:type="gramStart"/>
      <w:r w:rsidRPr="00E5094B">
        <w:rPr>
          <w:szCs w:val="20"/>
        </w:rPr>
        <w:t>2018,  2</w:t>
      </w:r>
      <w:proofErr w:type="gramEnd"/>
    </w:p>
  </w:footnote>
  <w:footnote w:id="8">
    <w:p w14:paraId="2F8C9C25" w14:textId="7ED005FB" w:rsidR="00491380" w:rsidRPr="00E5094B" w:rsidRDefault="00491380" w:rsidP="009B6433">
      <w:pPr>
        <w:pStyle w:val="Nota"/>
        <w:rPr>
          <w:szCs w:val="20"/>
        </w:rPr>
      </w:pPr>
      <w:r w:rsidRPr="00E5094B">
        <w:rPr>
          <w:rStyle w:val="FootnoteReference"/>
          <w:szCs w:val="20"/>
        </w:rPr>
        <w:footnoteRef/>
      </w:r>
      <w:r w:rsidRPr="00E5094B">
        <w:rPr>
          <w:szCs w:val="20"/>
        </w:rPr>
        <w:t xml:space="preserve"> European Court of Justice, </w:t>
      </w:r>
      <w:r>
        <w:rPr>
          <w:szCs w:val="20"/>
        </w:rPr>
        <w:t xml:space="preserve">9 </w:t>
      </w:r>
      <w:r w:rsidRPr="00E5094B">
        <w:rPr>
          <w:szCs w:val="20"/>
        </w:rPr>
        <w:t>November</w:t>
      </w:r>
      <w:r>
        <w:rPr>
          <w:szCs w:val="20"/>
        </w:rPr>
        <w:t xml:space="preserve"> </w:t>
      </w:r>
      <w:r w:rsidRPr="00E5094B">
        <w:rPr>
          <w:szCs w:val="20"/>
        </w:rPr>
        <w:t xml:space="preserve">2004, case C-203/02, British Horseracing Board v. William Hill Organization, </w:t>
      </w:r>
      <w:r>
        <w:rPr>
          <w:szCs w:val="20"/>
        </w:rPr>
        <w:t>“</w:t>
      </w:r>
      <w:r w:rsidRPr="00E5094B">
        <w:rPr>
          <w:szCs w:val="20"/>
        </w:rPr>
        <w:t>British Horseracing</w:t>
      </w:r>
      <w:r>
        <w:rPr>
          <w:szCs w:val="20"/>
        </w:rPr>
        <w:t xml:space="preserve"> case”</w:t>
      </w:r>
      <w:r w:rsidRPr="00E5094B">
        <w:rPr>
          <w:szCs w:val="20"/>
        </w:rPr>
        <w:t xml:space="preserve">; European Court of Justice, </w:t>
      </w:r>
      <w:r>
        <w:rPr>
          <w:szCs w:val="20"/>
        </w:rPr>
        <w:t xml:space="preserve">9 </w:t>
      </w:r>
      <w:r w:rsidRPr="00E5094B">
        <w:rPr>
          <w:szCs w:val="20"/>
        </w:rPr>
        <w:t xml:space="preserve">November 2004, case C- 338/02, Fixtures Marketing v. Svenska </w:t>
      </w:r>
      <w:proofErr w:type="spellStart"/>
      <w:r w:rsidRPr="00E5094B">
        <w:rPr>
          <w:szCs w:val="20"/>
        </w:rPr>
        <w:t>Spel</w:t>
      </w:r>
      <w:proofErr w:type="spellEnd"/>
      <w:r w:rsidRPr="00E5094B">
        <w:rPr>
          <w:szCs w:val="20"/>
        </w:rPr>
        <w:t xml:space="preserve">, </w:t>
      </w:r>
      <w:r>
        <w:rPr>
          <w:szCs w:val="20"/>
        </w:rPr>
        <w:t>“</w:t>
      </w:r>
      <w:r w:rsidRPr="00E5094B">
        <w:rPr>
          <w:szCs w:val="20"/>
        </w:rPr>
        <w:t>Fixtures-Svenska</w:t>
      </w:r>
      <w:r>
        <w:rPr>
          <w:szCs w:val="20"/>
        </w:rPr>
        <w:t xml:space="preserve"> case”</w:t>
      </w:r>
      <w:r w:rsidRPr="00E5094B">
        <w:rPr>
          <w:szCs w:val="20"/>
        </w:rPr>
        <w:t xml:space="preserve">; European Court of Justice, </w:t>
      </w:r>
      <w:r>
        <w:rPr>
          <w:szCs w:val="20"/>
        </w:rPr>
        <w:t xml:space="preserve">9 </w:t>
      </w:r>
      <w:r w:rsidRPr="00E5094B">
        <w:rPr>
          <w:szCs w:val="20"/>
        </w:rPr>
        <w:t xml:space="preserve">November 2004, case C- 46/02, Fixtures Marketing v. Oy </w:t>
      </w:r>
      <w:proofErr w:type="spellStart"/>
      <w:r w:rsidRPr="00E5094B">
        <w:rPr>
          <w:szCs w:val="20"/>
        </w:rPr>
        <w:t>Vekkaus</w:t>
      </w:r>
      <w:proofErr w:type="spellEnd"/>
      <w:r w:rsidRPr="00E5094B">
        <w:rPr>
          <w:szCs w:val="20"/>
        </w:rPr>
        <w:t xml:space="preserve"> AB, </w:t>
      </w:r>
      <w:r>
        <w:rPr>
          <w:szCs w:val="20"/>
        </w:rPr>
        <w:t>“</w:t>
      </w:r>
      <w:r w:rsidRPr="00E5094B">
        <w:rPr>
          <w:szCs w:val="20"/>
        </w:rPr>
        <w:t>Fixtures-Oy</w:t>
      </w:r>
      <w:r>
        <w:rPr>
          <w:szCs w:val="20"/>
        </w:rPr>
        <w:t xml:space="preserve"> case”</w:t>
      </w:r>
      <w:r w:rsidRPr="00E5094B">
        <w:rPr>
          <w:szCs w:val="20"/>
        </w:rPr>
        <w:t xml:space="preserve">; </w:t>
      </w:r>
      <w:r w:rsidRPr="00180D30">
        <w:t xml:space="preserve">European Court of Justice, </w:t>
      </w:r>
      <w:r>
        <w:t xml:space="preserve">9 </w:t>
      </w:r>
      <w:r w:rsidRPr="00180D30">
        <w:t xml:space="preserve">November 2004, case 444/02, Fixtures Marketing v. </w:t>
      </w:r>
      <w:proofErr w:type="spellStart"/>
      <w:r w:rsidRPr="00180D30">
        <w:t>Organismos</w:t>
      </w:r>
      <w:proofErr w:type="spellEnd"/>
      <w:r w:rsidRPr="00180D30">
        <w:t xml:space="preserve"> </w:t>
      </w:r>
      <w:proofErr w:type="spellStart"/>
      <w:r w:rsidRPr="00180D30">
        <w:t>prognostikon</w:t>
      </w:r>
      <w:proofErr w:type="spellEnd"/>
      <w:r w:rsidRPr="00180D30">
        <w:t xml:space="preserve"> </w:t>
      </w:r>
      <w:proofErr w:type="spellStart"/>
      <w:r w:rsidRPr="00180D30">
        <w:t>agonon</w:t>
      </w:r>
      <w:proofErr w:type="spellEnd"/>
      <w:r w:rsidRPr="00180D30">
        <w:t xml:space="preserve"> </w:t>
      </w:r>
      <w:proofErr w:type="spellStart"/>
      <w:r w:rsidRPr="00180D30">
        <w:t>podosfairou</w:t>
      </w:r>
      <w:proofErr w:type="spellEnd"/>
      <w:r w:rsidRPr="00180D30">
        <w:t xml:space="preserve">, </w:t>
      </w:r>
      <w:r>
        <w:t>“</w:t>
      </w:r>
      <w:r w:rsidRPr="00180D30">
        <w:t>Fixtures-OPAP</w:t>
      </w:r>
      <w:r>
        <w:t xml:space="preserve"> case”</w:t>
      </w:r>
      <w:r w:rsidRPr="00180D30">
        <w:t>, 20 ff</w:t>
      </w:r>
      <w:r w:rsidRPr="00E5094B">
        <w:rPr>
          <w:szCs w:val="20"/>
        </w:rPr>
        <w:t>.</w:t>
      </w:r>
    </w:p>
  </w:footnote>
  <w:footnote w:id="9">
    <w:p w14:paraId="437472A0" w14:textId="0D825E34" w:rsidR="00491380" w:rsidRPr="00E5094B" w:rsidRDefault="00491380" w:rsidP="009B6433">
      <w:pPr>
        <w:pStyle w:val="Nota"/>
        <w:rPr>
          <w:szCs w:val="20"/>
        </w:rPr>
      </w:pPr>
      <w:r w:rsidRPr="00E5094B">
        <w:rPr>
          <w:rStyle w:val="FootnoteReference"/>
          <w:szCs w:val="20"/>
        </w:rPr>
        <w:footnoteRef/>
      </w:r>
      <w:r w:rsidRPr="00E5094B">
        <w:rPr>
          <w:szCs w:val="20"/>
        </w:rPr>
        <w:t xml:space="preserve"> See J. McCarthy, </w:t>
      </w:r>
      <w:r w:rsidRPr="00E5094B">
        <w:rPr>
          <w:i/>
          <w:szCs w:val="20"/>
        </w:rPr>
        <w:t>A proposal for the Dartmouth Summer Research Program on Artificial Intelligence (31 August 1955)</w:t>
      </w:r>
      <w:r w:rsidRPr="00E5094B">
        <w:rPr>
          <w:szCs w:val="20"/>
        </w:rPr>
        <w:t xml:space="preserve">, available at </w:t>
      </w:r>
      <w:hyperlink r:id="rId2" w:history="1">
        <w:r w:rsidRPr="00E5094B">
          <w:rPr>
            <w:rStyle w:val="Hyperlink"/>
            <w:color w:val="auto"/>
            <w:szCs w:val="20"/>
            <w:u w:val="none"/>
          </w:rPr>
          <w:t>https://www.aaai.org/ojs/index.php/aimagazine/article/view/1904/1802</w:t>
        </w:r>
      </w:hyperlink>
      <w:r w:rsidRPr="00E5094B">
        <w:rPr>
          <w:szCs w:val="20"/>
        </w:rPr>
        <w:t>, last access</w:t>
      </w:r>
      <w:r>
        <w:rPr>
          <w:szCs w:val="20"/>
        </w:rPr>
        <w:t>ed</w:t>
      </w:r>
      <w:r w:rsidRPr="00E5094B">
        <w:rPr>
          <w:szCs w:val="20"/>
        </w:rPr>
        <w:t xml:space="preserve"> 29 April 2020.</w:t>
      </w:r>
    </w:p>
  </w:footnote>
  <w:footnote w:id="10">
    <w:p w14:paraId="3FD0D390" w14:textId="745831FC" w:rsidR="00491380" w:rsidRPr="00E5094B" w:rsidRDefault="00491380" w:rsidP="009B6433">
      <w:pPr>
        <w:pStyle w:val="Nota"/>
        <w:rPr>
          <w:szCs w:val="20"/>
        </w:rPr>
      </w:pPr>
      <w:r w:rsidRPr="00E5094B">
        <w:rPr>
          <w:rStyle w:val="FootnoteReference"/>
          <w:szCs w:val="20"/>
        </w:rPr>
        <w:footnoteRef/>
      </w:r>
      <w:r w:rsidRPr="00E5094B">
        <w:rPr>
          <w:szCs w:val="20"/>
        </w:rPr>
        <w:t xml:space="preserve"> J. McCarthy, </w:t>
      </w:r>
      <w:r w:rsidRPr="00E5094B">
        <w:rPr>
          <w:i/>
          <w:szCs w:val="20"/>
        </w:rPr>
        <w:t xml:space="preserve">What is Artificial </w:t>
      </w:r>
      <w:proofErr w:type="gramStart"/>
      <w:r w:rsidRPr="00E5094B">
        <w:rPr>
          <w:i/>
          <w:szCs w:val="20"/>
        </w:rPr>
        <w:t>Intelligence?</w:t>
      </w:r>
      <w:r w:rsidRPr="00E5094B">
        <w:rPr>
          <w:szCs w:val="20"/>
        </w:rPr>
        <w:t>,</w:t>
      </w:r>
      <w:proofErr w:type="gramEnd"/>
      <w:r w:rsidRPr="00E5094B">
        <w:rPr>
          <w:szCs w:val="20"/>
        </w:rPr>
        <w:t xml:space="preserve"> available at </w:t>
      </w:r>
      <w:hyperlink r:id="rId3" w:history="1">
        <w:r w:rsidRPr="00E5094B">
          <w:rPr>
            <w:rStyle w:val="Hyperlink"/>
            <w:color w:val="auto"/>
            <w:szCs w:val="20"/>
            <w:u w:val="none"/>
          </w:rPr>
          <w:t>http://jmc.stanford.edu/articles/whatisai.html</w:t>
        </w:r>
      </w:hyperlink>
      <w:r w:rsidRPr="00E5094B">
        <w:rPr>
          <w:szCs w:val="20"/>
        </w:rPr>
        <w:t>, last access</w:t>
      </w:r>
      <w:r>
        <w:rPr>
          <w:szCs w:val="20"/>
        </w:rPr>
        <w:t>ed</w:t>
      </w:r>
      <w:r w:rsidRPr="00E5094B">
        <w:rPr>
          <w:szCs w:val="20"/>
        </w:rPr>
        <w:t xml:space="preserve"> 29 April 2020, 2.</w:t>
      </w:r>
    </w:p>
  </w:footnote>
  <w:footnote w:id="11">
    <w:p w14:paraId="3F3D706E" w14:textId="76827792" w:rsidR="00491380" w:rsidRPr="00427F12" w:rsidRDefault="00491380" w:rsidP="006F2378">
      <w:pPr>
        <w:pStyle w:val="Nota"/>
      </w:pPr>
      <w:r>
        <w:rPr>
          <w:rStyle w:val="FootnoteReference"/>
        </w:rPr>
        <w:footnoteRef/>
      </w:r>
      <w:r>
        <w:t xml:space="preserve"> ISO, </w:t>
      </w:r>
      <w:r>
        <w:rPr>
          <w:i/>
        </w:rPr>
        <w:t>I</w:t>
      </w:r>
      <w:r w:rsidRPr="006F2378">
        <w:rPr>
          <w:i/>
        </w:rPr>
        <w:t>SO/IEC 2382-28:1995(</w:t>
      </w:r>
      <w:proofErr w:type="spellStart"/>
      <w:r w:rsidRPr="006F2378">
        <w:rPr>
          <w:i/>
        </w:rPr>
        <w:t>en</w:t>
      </w:r>
      <w:proofErr w:type="spellEnd"/>
      <w:r w:rsidRPr="006F2378">
        <w:rPr>
          <w:i/>
        </w:rPr>
        <w:t>) Information technology — Vocabulary — Part 28: Artificial intelligence — Basic concepts and expert systems</w:t>
      </w:r>
      <w:r>
        <w:rPr>
          <w:i/>
        </w:rPr>
        <w:t xml:space="preserve"> </w:t>
      </w:r>
      <w:r>
        <w:t xml:space="preserve">– </w:t>
      </w:r>
      <w:r>
        <w:rPr>
          <w:i/>
        </w:rPr>
        <w:t>Voice 28.01.02 Artificial Intelligence</w:t>
      </w:r>
      <w:r>
        <w:t xml:space="preserve">, available at </w:t>
      </w:r>
      <w:hyperlink r:id="rId4" w:anchor="iso:std:iso-iec:2382:-28:ed-1:v1:en" w:history="1">
        <w:r>
          <w:rPr>
            <w:rStyle w:val="Hyperlink"/>
          </w:rPr>
          <w:t>https://www.iso.org/obp/ui/#iso:std:iso-iec:2382:-28:ed-1:v1:en</w:t>
        </w:r>
      </w:hyperlink>
      <w:r>
        <w:t xml:space="preserve">, last accessed 21 May 2020. </w:t>
      </w:r>
    </w:p>
  </w:footnote>
  <w:footnote w:id="12">
    <w:p w14:paraId="4BD49345" w14:textId="063212F4" w:rsidR="00491380" w:rsidRPr="00E5094B" w:rsidRDefault="00491380" w:rsidP="009B6433">
      <w:pPr>
        <w:pStyle w:val="Nota"/>
        <w:rPr>
          <w:szCs w:val="20"/>
        </w:rPr>
      </w:pPr>
      <w:r w:rsidRPr="00E5094B">
        <w:rPr>
          <w:rStyle w:val="FootnoteReference"/>
          <w:szCs w:val="20"/>
        </w:rPr>
        <w:footnoteRef/>
      </w:r>
      <w:r w:rsidRPr="00E5094B">
        <w:rPr>
          <w:szCs w:val="20"/>
        </w:rPr>
        <w:t xml:space="preserve"> Both definitions are provided by T. </w:t>
      </w:r>
      <w:proofErr w:type="spellStart"/>
      <w:r w:rsidRPr="00E5094B">
        <w:rPr>
          <w:szCs w:val="20"/>
        </w:rPr>
        <w:t>Goertzel</w:t>
      </w:r>
      <w:proofErr w:type="spellEnd"/>
      <w:r w:rsidRPr="00E5094B">
        <w:rPr>
          <w:szCs w:val="20"/>
        </w:rPr>
        <w:t xml:space="preserve">, </w:t>
      </w:r>
      <w:r w:rsidRPr="00E5094B">
        <w:rPr>
          <w:i/>
          <w:szCs w:val="20"/>
        </w:rPr>
        <w:t xml:space="preserve">The path to more General Artificial Intelligence, </w:t>
      </w:r>
      <w:r w:rsidRPr="00E5094B">
        <w:rPr>
          <w:szCs w:val="20"/>
        </w:rPr>
        <w:t>in</w:t>
      </w:r>
      <w:r w:rsidRPr="00E5094B">
        <w:rPr>
          <w:i/>
          <w:szCs w:val="20"/>
        </w:rPr>
        <w:t xml:space="preserve"> Journal of Experimental &amp; Theoretical Artificial Intelligence</w:t>
      </w:r>
      <w:r w:rsidRPr="00E5094B">
        <w:rPr>
          <w:szCs w:val="20"/>
        </w:rPr>
        <w:t xml:space="preserve"> 2014, available at </w:t>
      </w:r>
      <w:hyperlink r:id="rId5" w:history="1">
        <w:r w:rsidRPr="00E5094B">
          <w:rPr>
            <w:rStyle w:val="Hyperlink"/>
            <w:szCs w:val="20"/>
          </w:rPr>
          <w:t>https://www.researchgate.net/publication/263429725_The_path_to_more_general_artificial_intelligence/link/5a6a17580f7e9b01f3efc656/download</w:t>
        </w:r>
      </w:hyperlink>
      <w:r w:rsidRPr="00E5094B">
        <w:rPr>
          <w:szCs w:val="20"/>
        </w:rPr>
        <w:t>, last access</w:t>
      </w:r>
      <w:r>
        <w:rPr>
          <w:szCs w:val="20"/>
        </w:rPr>
        <w:t>ed</w:t>
      </w:r>
      <w:r w:rsidRPr="00E5094B">
        <w:rPr>
          <w:szCs w:val="20"/>
        </w:rPr>
        <w:t xml:space="preserve"> 30 April 2020, 1. </w:t>
      </w:r>
    </w:p>
  </w:footnote>
  <w:footnote w:id="13">
    <w:p w14:paraId="0F3B9589" w14:textId="42D21E1B" w:rsidR="00491380" w:rsidRPr="006F2378" w:rsidRDefault="00491380" w:rsidP="009B6433">
      <w:pPr>
        <w:pStyle w:val="Nota"/>
        <w:rPr>
          <w:szCs w:val="20"/>
        </w:rPr>
      </w:pPr>
      <w:r w:rsidRPr="00E5094B">
        <w:rPr>
          <w:rStyle w:val="FootnoteReference"/>
          <w:szCs w:val="20"/>
        </w:rPr>
        <w:footnoteRef/>
      </w:r>
      <w:r w:rsidRPr="00E5094B">
        <w:rPr>
          <w:szCs w:val="20"/>
        </w:rPr>
        <w:t xml:space="preserve"> G. Noto La </w:t>
      </w:r>
      <w:proofErr w:type="spellStart"/>
      <w:r w:rsidRPr="00E5094B">
        <w:rPr>
          <w:szCs w:val="20"/>
        </w:rPr>
        <w:t>Diega</w:t>
      </w:r>
      <w:proofErr w:type="spellEnd"/>
      <w:r w:rsidRPr="00E5094B">
        <w:rPr>
          <w:szCs w:val="20"/>
        </w:rPr>
        <w:t xml:space="preserve">, </w:t>
      </w:r>
      <w:r w:rsidRPr="00E5094B">
        <w:rPr>
          <w:i/>
          <w:szCs w:val="20"/>
        </w:rPr>
        <w:t>Artificial Intelligence and databases in the age of big machine data</w:t>
      </w:r>
      <w:r w:rsidRPr="00E5094B">
        <w:rPr>
          <w:szCs w:val="20"/>
        </w:rPr>
        <w:t xml:space="preserve">, in </w:t>
      </w:r>
      <w:r w:rsidRPr="00E5094B">
        <w:rPr>
          <w:i/>
          <w:szCs w:val="20"/>
        </w:rPr>
        <w:t>AIDA</w:t>
      </w:r>
      <w:r w:rsidRPr="00E5094B">
        <w:rPr>
          <w:szCs w:val="20"/>
        </w:rPr>
        <w:t xml:space="preserve"> 2018, 98. See also T. </w:t>
      </w:r>
      <w:proofErr w:type="spellStart"/>
      <w:r w:rsidRPr="00E5094B">
        <w:rPr>
          <w:szCs w:val="20"/>
        </w:rPr>
        <w:t>Goertzel</w:t>
      </w:r>
      <w:proofErr w:type="spellEnd"/>
      <w:r w:rsidRPr="00E5094B">
        <w:rPr>
          <w:szCs w:val="20"/>
        </w:rPr>
        <w:t xml:space="preserve">, </w:t>
      </w:r>
      <w:r w:rsidRPr="00E5094B">
        <w:rPr>
          <w:i/>
          <w:szCs w:val="20"/>
        </w:rPr>
        <w:t>op. cit.</w:t>
      </w:r>
      <w:r w:rsidRPr="00E5094B">
        <w:rPr>
          <w:szCs w:val="20"/>
        </w:rPr>
        <w:t xml:space="preserve">, 2, which argues that </w:t>
      </w:r>
      <w:r>
        <w:rPr>
          <w:szCs w:val="20"/>
        </w:rPr>
        <w:t>“</w:t>
      </w:r>
      <w:r w:rsidRPr="00E5094B">
        <w:rPr>
          <w:i/>
          <w:szCs w:val="20"/>
        </w:rPr>
        <w:t>the next stage of development of AI, for the next decade and more likely for the next twenty-five years, will be increasingly dependent on contributions from strong AI</w:t>
      </w:r>
      <w:r>
        <w:rPr>
          <w:szCs w:val="20"/>
        </w:rPr>
        <w:t>”</w:t>
      </w:r>
      <w:r w:rsidRPr="00E5094B">
        <w:rPr>
          <w:szCs w:val="20"/>
        </w:rPr>
        <w:t>.</w:t>
      </w:r>
      <w:r>
        <w:rPr>
          <w:szCs w:val="20"/>
        </w:rPr>
        <w:t xml:space="preserve"> Even if, according to R. </w:t>
      </w:r>
      <w:proofErr w:type="spellStart"/>
      <w:r>
        <w:rPr>
          <w:szCs w:val="20"/>
        </w:rPr>
        <w:t>Fjelland</w:t>
      </w:r>
      <w:proofErr w:type="spellEnd"/>
      <w:r>
        <w:rPr>
          <w:szCs w:val="20"/>
        </w:rPr>
        <w:t xml:space="preserve">, </w:t>
      </w:r>
      <w:proofErr w:type="gramStart"/>
      <w:r w:rsidRPr="006F2378">
        <w:rPr>
          <w:i/>
          <w:szCs w:val="20"/>
        </w:rPr>
        <w:t>Why</w:t>
      </w:r>
      <w:proofErr w:type="gramEnd"/>
      <w:r w:rsidRPr="006F2378">
        <w:rPr>
          <w:i/>
          <w:szCs w:val="20"/>
        </w:rPr>
        <w:t xml:space="preserve"> general artificial intelligence will not be realized</w:t>
      </w:r>
      <w:r>
        <w:rPr>
          <w:szCs w:val="20"/>
        </w:rPr>
        <w:t xml:space="preserve">, in </w:t>
      </w:r>
      <w:proofErr w:type="spellStart"/>
      <w:r w:rsidRPr="006F2378">
        <w:rPr>
          <w:i/>
          <w:szCs w:val="20"/>
        </w:rPr>
        <w:t>Humanit</w:t>
      </w:r>
      <w:proofErr w:type="spellEnd"/>
      <w:r>
        <w:rPr>
          <w:i/>
          <w:szCs w:val="20"/>
        </w:rPr>
        <w:t>.</w:t>
      </w:r>
      <w:r w:rsidRPr="006F2378">
        <w:rPr>
          <w:i/>
          <w:szCs w:val="20"/>
        </w:rPr>
        <w:t xml:space="preserve"> Soc</w:t>
      </w:r>
      <w:r>
        <w:rPr>
          <w:i/>
          <w:szCs w:val="20"/>
        </w:rPr>
        <w:t>.</w:t>
      </w:r>
      <w:r w:rsidRPr="006F2378">
        <w:rPr>
          <w:i/>
          <w:szCs w:val="20"/>
        </w:rPr>
        <w:t xml:space="preserve"> Sci</w:t>
      </w:r>
      <w:r>
        <w:rPr>
          <w:i/>
          <w:szCs w:val="20"/>
        </w:rPr>
        <w:t>.</w:t>
      </w:r>
      <w:r w:rsidRPr="006F2378">
        <w:rPr>
          <w:i/>
          <w:szCs w:val="20"/>
        </w:rPr>
        <w:t xml:space="preserve"> </w:t>
      </w:r>
      <w:proofErr w:type="spellStart"/>
      <w:r w:rsidRPr="006F2378">
        <w:rPr>
          <w:i/>
          <w:szCs w:val="20"/>
        </w:rPr>
        <w:t>Commun</w:t>
      </w:r>
      <w:proofErr w:type="spellEnd"/>
      <w:r>
        <w:rPr>
          <w:i/>
          <w:szCs w:val="20"/>
        </w:rPr>
        <w:t>.</w:t>
      </w:r>
      <w:r>
        <w:rPr>
          <w:szCs w:val="20"/>
        </w:rPr>
        <w:t xml:space="preserve">, 2020, available at </w:t>
      </w:r>
      <w:hyperlink r:id="rId6" w:history="1">
        <w:r w:rsidRPr="00807DD1">
          <w:rPr>
            <w:rStyle w:val="Hyperlink"/>
            <w:szCs w:val="20"/>
          </w:rPr>
          <w:t>https://doi.org/10.1057/s41599-020-0494-4</w:t>
        </w:r>
      </w:hyperlink>
      <w:r>
        <w:rPr>
          <w:szCs w:val="20"/>
        </w:rPr>
        <w:t>, “</w:t>
      </w:r>
      <w:r w:rsidRPr="00523C65">
        <w:rPr>
          <w:i/>
          <w:szCs w:val="20"/>
        </w:rPr>
        <w:t>the goal cannot in</w:t>
      </w:r>
      <w:r>
        <w:rPr>
          <w:i/>
          <w:szCs w:val="20"/>
        </w:rPr>
        <w:t xml:space="preserve"> principle be realized, and </w:t>
      </w:r>
      <w:r>
        <w:rPr>
          <w:szCs w:val="20"/>
        </w:rPr>
        <w:t>[…]</w:t>
      </w:r>
      <w:r w:rsidRPr="00523C65">
        <w:rPr>
          <w:i/>
          <w:szCs w:val="20"/>
        </w:rPr>
        <w:t xml:space="preserve"> the project is a dead end</w:t>
      </w:r>
      <w:r>
        <w:rPr>
          <w:szCs w:val="20"/>
        </w:rPr>
        <w:t>”.</w:t>
      </w:r>
    </w:p>
  </w:footnote>
  <w:footnote w:id="14">
    <w:p w14:paraId="4AAB3433" w14:textId="4A171CFC" w:rsidR="00491380" w:rsidRPr="00E5094B" w:rsidRDefault="00491380" w:rsidP="009B6433">
      <w:pPr>
        <w:pStyle w:val="Nota"/>
        <w:rPr>
          <w:szCs w:val="20"/>
        </w:rPr>
      </w:pPr>
      <w:r w:rsidRPr="00E5094B">
        <w:rPr>
          <w:rStyle w:val="FootnoteReference"/>
          <w:szCs w:val="20"/>
        </w:rPr>
        <w:footnoteRef/>
      </w:r>
      <w:r w:rsidRPr="00E5094B">
        <w:rPr>
          <w:szCs w:val="20"/>
        </w:rPr>
        <w:t xml:space="preserve"> T. </w:t>
      </w:r>
      <w:proofErr w:type="spellStart"/>
      <w:r w:rsidRPr="00E5094B">
        <w:rPr>
          <w:szCs w:val="20"/>
        </w:rPr>
        <w:t>Goertzel</w:t>
      </w:r>
      <w:proofErr w:type="spellEnd"/>
      <w:r w:rsidRPr="00E5094B">
        <w:rPr>
          <w:szCs w:val="20"/>
        </w:rPr>
        <w:t xml:space="preserve">, </w:t>
      </w:r>
      <w:r w:rsidRPr="00E5094B">
        <w:rPr>
          <w:i/>
          <w:szCs w:val="20"/>
        </w:rPr>
        <w:t>op. cit.</w:t>
      </w:r>
      <w:r w:rsidRPr="00E5094B">
        <w:rPr>
          <w:szCs w:val="20"/>
        </w:rPr>
        <w:t>, 1.</w:t>
      </w:r>
    </w:p>
  </w:footnote>
  <w:footnote w:id="15">
    <w:p w14:paraId="0347FD3E" w14:textId="7482BFC9" w:rsidR="00491380" w:rsidRPr="00E5094B" w:rsidRDefault="00491380" w:rsidP="009B6433">
      <w:pPr>
        <w:pStyle w:val="Nota"/>
        <w:rPr>
          <w:szCs w:val="20"/>
        </w:rPr>
      </w:pPr>
      <w:r w:rsidRPr="00E5094B">
        <w:rPr>
          <w:rStyle w:val="FootnoteReference"/>
          <w:szCs w:val="20"/>
        </w:rPr>
        <w:footnoteRef/>
      </w:r>
      <w:r w:rsidRPr="00E5094B">
        <w:rPr>
          <w:szCs w:val="20"/>
        </w:rPr>
        <w:t xml:space="preserve"> For instance, the human operator labels as “car” a picture of a car.</w:t>
      </w:r>
    </w:p>
  </w:footnote>
  <w:footnote w:id="16">
    <w:p w14:paraId="33088139" w14:textId="6B5AF17E" w:rsidR="00491380" w:rsidRPr="006F2378" w:rsidRDefault="00491380" w:rsidP="009B6433">
      <w:pPr>
        <w:pStyle w:val="Nota"/>
        <w:rPr>
          <w:szCs w:val="20"/>
          <w:lang w:val="it-IT"/>
        </w:rPr>
      </w:pPr>
      <w:r w:rsidRPr="00E5094B">
        <w:rPr>
          <w:rStyle w:val="FootnoteReference"/>
          <w:szCs w:val="20"/>
        </w:rPr>
        <w:footnoteRef/>
      </w:r>
      <w:r w:rsidRPr="00E5094B">
        <w:rPr>
          <w:szCs w:val="20"/>
        </w:rPr>
        <w:t xml:space="preserve"> For a “lawyer-friendly” explanation of machine learning (supervised, unsupervised and semi-supervised), see G. Noto La </w:t>
      </w:r>
      <w:proofErr w:type="spellStart"/>
      <w:r w:rsidRPr="00E5094B">
        <w:rPr>
          <w:szCs w:val="20"/>
        </w:rPr>
        <w:t>Diega</w:t>
      </w:r>
      <w:proofErr w:type="spellEnd"/>
      <w:r w:rsidRPr="00E5094B">
        <w:rPr>
          <w:szCs w:val="20"/>
        </w:rPr>
        <w:t xml:space="preserve">, </w:t>
      </w:r>
      <w:r w:rsidRPr="00E5094B">
        <w:rPr>
          <w:i/>
          <w:szCs w:val="20"/>
        </w:rPr>
        <w:t>op. cit.</w:t>
      </w:r>
      <w:r w:rsidRPr="00E5094B">
        <w:rPr>
          <w:szCs w:val="20"/>
        </w:rPr>
        <w:t xml:space="preserve">, 98-100 and footnotes thereof, which provide more technical insights. </w:t>
      </w:r>
      <w:r w:rsidRPr="006F2378">
        <w:rPr>
          <w:szCs w:val="20"/>
          <w:lang w:val="it-IT"/>
        </w:rPr>
        <w:t>See also A. Ottolia,</w:t>
      </w:r>
      <w:r w:rsidRPr="006D51ED">
        <w:rPr>
          <w:lang w:val="it-IT"/>
        </w:rPr>
        <w:t xml:space="preserve"> </w:t>
      </w:r>
      <w:r w:rsidRPr="006D51ED">
        <w:rPr>
          <w:i/>
          <w:lang w:val="it-IT"/>
        </w:rPr>
        <w:t>Big Data e Innovazione Computazionale</w:t>
      </w:r>
      <w:r w:rsidRPr="006D51ED">
        <w:rPr>
          <w:lang w:val="it-IT"/>
        </w:rPr>
        <w:t>, G. Giappich</w:t>
      </w:r>
      <w:r>
        <w:rPr>
          <w:lang w:val="it-IT"/>
        </w:rPr>
        <w:t>elli Editore, Turin, 2017</w:t>
      </w:r>
      <w:r w:rsidRPr="006F2378">
        <w:rPr>
          <w:szCs w:val="20"/>
          <w:lang w:val="it-IT"/>
        </w:rPr>
        <w:t>, 10-13.</w:t>
      </w:r>
    </w:p>
  </w:footnote>
  <w:footnote w:id="17">
    <w:p w14:paraId="0F7C5782" w14:textId="19CA07BF" w:rsidR="00491380" w:rsidRPr="00E5094B" w:rsidRDefault="00491380" w:rsidP="009B6433">
      <w:pPr>
        <w:pStyle w:val="Nota"/>
        <w:rPr>
          <w:szCs w:val="20"/>
        </w:rPr>
      </w:pPr>
      <w:r w:rsidRPr="00E5094B">
        <w:rPr>
          <w:rStyle w:val="FootnoteReference"/>
          <w:szCs w:val="20"/>
        </w:rPr>
        <w:footnoteRef/>
      </w:r>
      <w:r w:rsidRPr="00E5094B">
        <w:rPr>
          <w:szCs w:val="20"/>
        </w:rPr>
        <w:t xml:space="preserve"> See G. Noto La </w:t>
      </w:r>
      <w:proofErr w:type="spellStart"/>
      <w:r w:rsidRPr="00E5094B">
        <w:rPr>
          <w:szCs w:val="20"/>
        </w:rPr>
        <w:t>Diega</w:t>
      </w:r>
      <w:proofErr w:type="spellEnd"/>
      <w:r w:rsidRPr="00E5094B">
        <w:rPr>
          <w:szCs w:val="20"/>
        </w:rPr>
        <w:t xml:space="preserve">, </w:t>
      </w:r>
      <w:r w:rsidRPr="00E5094B">
        <w:rPr>
          <w:i/>
          <w:szCs w:val="20"/>
        </w:rPr>
        <w:t>op. cit</w:t>
      </w:r>
      <w:r w:rsidRPr="00E5094B">
        <w:rPr>
          <w:szCs w:val="20"/>
        </w:rPr>
        <w:t>., 100</w:t>
      </w:r>
      <w:r>
        <w:rPr>
          <w:szCs w:val="20"/>
        </w:rPr>
        <w:t>,</w:t>
      </w:r>
      <w:r w:rsidRPr="00E5094B">
        <w:rPr>
          <w:szCs w:val="20"/>
        </w:rPr>
        <w:t xml:space="preserve"> and for a detailed list of technical publications on the integration of AI and databases see footnotes 56-60 thereof. </w:t>
      </w:r>
    </w:p>
  </w:footnote>
  <w:footnote w:id="18">
    <w:p w14:paraId="2EB5D7BD" w14:textId="32F3A0DD" w:rsidR="00491380" w:rsidRPr="00E5094B" w:rsidRDefault="00491380" w:rsidP="009B6433">
      <w:pPr>
        <w:pStyle w:val="Nota"/>
        <w:rPr>
          <w:szCs w:val="20"/>
        </w:rPr>
      </w:pPr>
      <w:r w:rsidRPr="00E5094B">
        <w:rPr>
          <w:rStyle w:val="FootnoteReference"/>
          <w:szCs w:val="20"/>
        </w:rPr>
        <w:footnoteRef/>
      </w:r>
      <w:r w:rsidRPr="00E5094B">
        <w:rPr>
          <w:szCs w:val="20"/>
        </w:rPr>
        <w:t xml:space="preserve"> See European Commission, </w:t>
      </w:r>
      <w:r w:rsidRPr="00E5094B">
        <w:rPr>
          <w:i/>
          <w:szCs w:val="20"/>
        </w:rPr>
        <w:t>White paper on Artificial Intelligence – A European approach to excellence and trust</w:t>
      </w:r>
      <w:r w:rsidRPr="00E5094B">
        <w:rPr>
          <w:szCs w:val="20"/>
        </w:rPr>
        <w:t xml:space="preserve"> [COM (2020) 65 final], 2020, Brussels.</w:t>
      </w:r>
    </w:p>
  </w:footnote>
  <w:footnote w:id="19">
    <w:p w14:paraId="579ACC58" w14:textId="1AEF58A6" w:rsidR="00491380" w:rsidRPr="00E5094B" w:rsidRDefault="00491380" w:rsidP="009B6433">
      <w:pPr>
        <w:pStyle w:val="Nota"/>
        <w:rPr>
          <w:szCs w:val="20"/>
        </w:rPr>
      </w:pPr>
      <w:r w:rsidRPr="00E5094B">
        <w:rPr>
          <w:rStyle w:val="FootnoteReference"/>
          <w:szCs w:val="20"/>
        </w:rPr>
        <w:footnoteRef/>
      </w:r>
      <w:r w:rsidRPr="00E5094B">
        <w:rPr>
          <w:szCs w:val="20"/>
        </w:rPr>
        <w:t xml:space="preserve"> Broad term that </w:t>
      </w:r>
      <w:r>
        <w:rPr>
          <w:szCs w:val="20"/>
        </w:rPr>
        <w:t xml:space="preserve">also </w:t>
      </w:r>
      <w:r w:rsidRPr="00E5094B">
        <w:rPr>
          <w:szCs w:val="20"/>
        </w:rPr>
        <w:t>encompasses AI.</w:t>
      </w:r>
    </w:p>
  </w:footnote>
  <w:footnote w:id="20">
    <w:p w14:paraId="4E0F81AC" w14:textId="6B28A51B" w:rsidR="00491380" w:rsidRPr="00E5094B" w:rsidRDefault="00491380" w:rsidP="009B6433">
      <w:pPr>
        <w:pStyle w:val="Nota"/>
        <w:rPr>
          <w:szCs w:val="20"/>
        </w:rPr>
      </w:pPr>
      <w:r w:rsidRPr="00E5094B">
        <w:rPr>
          <w:rStyle w:val="FootnoteReference"/>
          <w:szCs w:val="20"/>
        </w:rPr>
        <w:footnoteRef/>
      </w:r>
      <w:r w:rsidRPr="00E5094B">
        <w:rPr>
          <w:szCs w:val="20"/>
        </w:rPr>
        <w:t xml:space="preserve"> See JIIP and Technopolis Group, </w:t>
      </w:r>
      <w:r w:rsidRPr="00E5094B">
        <w:rPr>
          <w:i/>
          <w:szCs w:val="20"/>
        </w:rPr>
        <w:t>Study in support of the evaluation of Directive 96/9/EC on the legal protection of databases</w:t>
      </w:r>
      <w:r w:rsidRPr="00E5094B">
        <w:rPr>
          <w:szCs w:val="20"/>
        </w:rPr>
        <w:t xml:space="preserve">, Luxembourg, 2018, 25 ff. </w:t>
      </w:r>
      <w:proofErr w:type="gramStart"/>
      <w:r w:rsidRPr="00E5094B">
        <w:rPr>
          <w:szCs w:val="20"/>
        </w:rPr>
        <w:t>It should be pointed out that, in</w:t>
      </w:r>
      <w:proofErr w:type="gramEnd"/>
      <w:r w:rsidRPr="00E5094B">
        <w:rPr>
          <w:szCs w:val="20"/>
        </w:rPr>
        <w:t xml:space="preserve"> this section of the Study, the focus is on web scraping and sensor-generated data</w:t>
      </w:r>
      <w:r>
        <w:rPr>
          <w:szCs w:val="20"/>
        </w:rPr>
        <w:t>. H</w:t>
      </w:r>
      <w:r w:rsidRPr="00E5094B">
        <w:rPr>
          <w:szCs w:val="20"/>
        </w:rPr>
        <w:t xml:space="preserve">owever, both technologies can be integrated with AI systems. </w:t>
      </w:r>
    </w:p>
  </w:footnote>
  <w:footnote w:id="21">
    <w:p w14:paraId="2F1C95D7" w14:textId="036048F8" w:rsidR="00491380" w:rsidRPr="006F2378" w:rsidRDefault="00491380" w:rsidP="006F2378">
      <w:pPr>
        <w:pStyle w:val="Nota"/>
      </w:pPr>
      <w:r>
        <w:rPr>
          <w:rStyle w:val="FootnoteReference"/>
        </w:rPr>
        <w:footnoteRef/>
      </w:r>
      <w:r w:rsidRPr="006F2378">
        <w:t xml:space="preserve"> See A. </w:t>
      </w:r>
      <w:proofErr w:type="spellStart"/>
      <w:r w:rsidRPr="006F2378">
        <w:t>Ottolia</w:t>
      </w:r>
      <w:proofErr w:type="spellEnd"/>
      <w:r w:rsidRPr="006F2378">
        <w:t xml:space="preserve">, </w:t>
      </w:r>
      <w:r w:rsidRPr="006F2378">
        <w:rPr>
          <w:i/>
        </w:rPr>
        <w:t>op. cit.</w:t>
      </w:r>
      <w:r w:rsidRPr="006F2378">
        <w:t>, 73 ff.</w:t>
      </w:r>
    </w:p>
  </w:footnote>
  <w:footnote w:id="22">
    <w:p w14:paraId="5AC673F8" w14:textId="6C43FA85" w:rsidR="00491380" w:rsidRPr="00DF61DB" w:rsidRDefault="00491380" w:rsidP="006F2378">
      <w:pPr>
        <w:pStyle w:val="Nota"/>
      </w:pPr>
      <w:r>
        <w:rPr>
          <w:rStyle w:val="FootnoteReference"/>
        </w:rPr>
        <w:footnoteRef/>
      </w:r>
      <w:r>
        <w:t xml:space="preserve"> </w:t>
      </w:r>
      <w:r w:rsidRPr="00180D30">
        <w:t xml:space="preserve">E. </w:t>
      </w:r>
      <w:proofErr w:type="spellStart"/>
      <w:r w:rsidRPr="00180D30">
        <w:t>Derclaye</w:t>
      </w:r>
      <w:proofErr w:type="spellEnd"/>
      <w:r w:rsidRPr="00180D30">
        <w:t xml:space="preserve">, </w:t>
      </w:r>
      <w:r w:rsidRPr="00180D30">
        <w:rPr>
          <w:i/>
        </w:rPr>
        <w:t xml:space="preserve">The Legal Protection of Databases: </w:t>
      </w:r>
      <w:proofErr w:type="gramStart"/>
      <w:r w:rsidRPr="00180D30">
        <w:rPr>
          <w:i/>
        </w:rPr>
        <w:t>a</w:t>
      </w:r>
      <w:proofErr w:type="gramEnd"/>
      <w:r w:rsidRPr="00180D30">
        <w:rPr>
          <w:i/>
        </w:rPr>
        <w:t xml:space="preserve"> Comparative Analysis</w:t>
      </w:r>
      <w:r w:rsidRPr="00180D30">
        <w:t>, Edward Elgar, Cheltenham, 2008, 54</w:t>
      </w:r>
      <w:r>
        <w:t>;</w:t>
      </w:r>
      <w:r w:rsidRPr="00180D30">
        <w:t xml:space="preserve"> and </w:t>
      </w:r>
      <w:r>
        <w:t>Fixtures-OPAP</w:t>
      </w:r>
      <w:r w:rsidRPr="00180D30">
        <w:t>, 20 ff.</w:t>
      </w:r>
    </w:p>
  </w:footnote>
  <w:footnote w:id="23">
    <w:p w14:paraId="31866FB6" w14:textId="2792879D" w:rsidR="00491380" w:rsidRPr="00405A2D" w:rsidRDefault="00491380" w:rsidP="006F2378">
      <w:pPr>
        <w:pStyle w:val="Nota"/>
      </w:pPr>
      <w:r>
        <w:rPr>
          <w:rStyle w:val="FootnoteReference"/>
        </w:rPr>
        <w:footnoteRef/>
      </w:r>
      <w:r>
        <w:t xml:space="preserve"> A. </w:t>
      </w:r>
      <w:proofErr w:type="spellStart"/>
      <w:r>
        <w:t>Ottolia</w:t>
      </w:r>
      <w:proofErr w:type="spellEnd"/>
      <w:r>
        <w:t xml:space="preserve">, </w:t>
      </w:r>
      <w:r>
        <w:rPr>
          <w:i/>
        </w:rPr>
        <w:t>op. cit.</w:t>
      </w:r>
      <w:r>
        <w:t>, 75.</w:t>
      </w:r>
    </w:p>
  </w:footnote>
  <w:footnote w:id="24">
    <w:p w14:paraId="4DA89DDF" w14:textId="30D6B881" w:rsidR="00491380" w:rsidRPr="00DF61DB" w:rsidRDefault="00491380" w:rsidP="009B6433">
      <w:pPr>
        <w:pStyle w:val="Nota"/>
        <w:rPr>
          <w:szCs w:val="20"/>
        </w:rPr>
      </w:pPr>
      <w:r w:rsidRPr="00E5094B">
        <w:rPr>
          <w:rStyle w:val="FootnoteReference"/>
          <w:szCs w:val="20"/>
        </w:rPr>
        <w:footnoteRef/>
      </w:r>
      <w:r w:rsidRPr="00DF61DB">
        <w:rPr>
          <w:szCs w:val="20"/>
        </w:rPr>
        <w:t xml:space="preserve"> See footnote 7.</w:t>
      </w:r>
    </w:p>
  </w:footnote>
  <w:footnote w:id="25">
    <w:p w14:paraId="3FD7CEFC" w14:textId="7B74AA6C" w:rsidR="00491380" w:rsidRPr="00E5094B" w:rsidRDefault="00491380" w:rsidP="009B6433">
      <w:pPr>
        <w:pStyle w:val="Nota"/>
        <w:rPr>
          <w:szCs w:val="20"/>
        </w:rPr>
      </w:pPr>
      <w:r w:rsidRPr="00E5094B">
        <w:rPr>
          <w:rStyle w:val="FootnoteReference"/>
          <w:szCs w:val="20"/>
        </w:rPr>
        <w:footnoteRef/>
      </w:r>
      <w:r w:rsidRPr="00E5094B">
        <w:rPr>
          <w:szCs w:val="20"/>
        </w:rPr>
        <w:t xml:space="preserve"> British Horseracing, § 31, Fixtures-Svenska, § 24, Fixtures-Oy, § 34, Fixtures-OPAP, § 40.</w:t>
      </w:r>
    </w:p>
  </w:footnote>
  <w:footnote w:id="26">
    <w:p w14:paraId="1032B314" w14:textId="31D771B1" w:rsidR="00491380" w:rsidRPr="00E5094B" w:rsidRDefault="00491380" w:rsidP="009B6433">
      <w:pPr>
        <w:pStyle w:val="Nota"/>
        <w:rPr>
          <w:szCs w:val="20"/>
        </w:rPr>
      </w:pPr>
      <w:r w:rsidRPr="00E5094B">
        <w:rPr>
          <w:rStyle w:val="FootnoteReference"/>
          <w:szCs w:val="20"/>
        </w:rPr>
        <w:footnoteRef/>
      </w:r>
      <w:r w:rsidRPr="00E5094B">
        <w:rPr>
          <w:szCs w:val="20"/>
        </w:rPr>
        <w:t xml:space="preserve"> British Horseracing, § 30, Fixtures-Svenska, § 23, Fixtures-Oy, § 33, Fixtures-OPAP, § 39.</w:t>
      </w:r>
    </w:p>
  </w:footnote>
  <w:footnote w:id="27">
    <w:p w14:paraId="10647290" w14:textId="3CE1180D" w:rsidR="00491380" w:rsidRPr="00E5094B" w:rsidRDefault="00491380" w:rsidP="009B6433">
      <w:pPr>
        <w:pStyle w:val="Nota"/>
        <w:rPr>
          <w:szCs w:val="20"/>
        </w:rPr>
      </w:pPr>
      <w:r w:rsidRPr="00E5094B">
        <w:rPr>
          <w:rStyle w:val="FootnoteReference"/>
          <w:szCs w:val="20"/>
        </w:rPr>
        <w:footnoteRef/>
      </w:r>
      <w:r w:rsidRPr="00E5094B">
        <w:rPr>
          <w:szCs w:val="20"/>
        </w:rPr>
        <w:t xml:space="preserve"> British Horseracing, § 32, Fixtures-Svenska, § 25, Fixtures-Oy, § 35, Fixtures-OPAP, § 41. </w:t>
      </w:r>
    </w:p>
  </w:footnote>
  <w:footnote w:id="28">
    <w:p w14:paraId="0C589811" w14:textId="348D0D69" w:rsidR="00491380" w:rsidRPr="00E5094B" w:rsidRDefault="00491380" w:rsidP="009B6433">
      <w:pPr>
        <w:pStyle w:val="Nota"/>
        <w:rPr>
          <w:szCs w:val="20"/>
        </w:rPr>
      </w:pPr>
      <w:r w:rsidRPr="00E5094B">
        <w:rPr>
          <w:rStyle w:val="FootnoteReference"/>
          <w:szCs w:val="20"/>
        </w:rPr>
        <w:footnoteRef/>
      </w:r>
      <w:r w:rsidRPr="00E5094B">
        <w:rPr>
          <w:szCs w:val="20"/>
        </w:rPr>
        <w:t xml:space="preserve"> British Horseracing (Opinion of A.G.), 46 and 49, Fixtures-Svenska (Opinion of A.G.), 56 and 59, Fixtures-Oy (Opinion of A.G.), 66 and 69, Fixtures-OPAP (Opinion of A.G.), 72 and 75. </w:t>
      </w:r>
    </w:p>
  </w:footnote>
  <w:footnote w:id="29">
    <w:p w14:paraId="0A53C4C4" w14:textId="1152DD9E" w:rsidR="00491380" w:rsidRPr="00E5094B" w:rsidRDefault="00491380" w:rsidP="009B6433">
      <w:pPr>
        <w:pStyle w:val="Nota"/>
        <w:rPr>
          <w:szCs w:val="20"/>
        </w:rPr>
      </w:pPr>
      <w:r w:rsidRPr="00E5094B">
        <w:rPr>
          <w:rStyle w:val="FootnoteReference"/>
          <w:szCs w:val="20"/>
        </w:rPr>
        <w:footnoteRef/>
      </w:r>
      <w:r w:rsidRPr="00E5094B">
        <w:rPr>
          <w:szCs w:val="20"/>
        </w:rPr>
        <w:t xml:space="preserve"> </w:t>
      </w:r>
      <w:r>
        <w:rPr>
          <w:szCs w:val="20"/>
        </w:rPr>
        <w:t xml:space="preserve">For example, </w:t>
      </w:r>
      <w:r w:rsidRPr="00E5094B">
        <w:rPr>
          <w:szCs w:val="20"/>
        </w:rPr>
        <w:t xml:space="preserve">see P.B </w:t>
      </w:r>
      <w:proofErr w:type="spellStart"/>
      <w:r w:rsidRPr="00E5094B">
        <w:rPr>
          <w:szCs w:val="20"/>
        </w:rPr>
        <w:t>Hugenholtz</w:t>
      </w:r>
      <w:proofErr w:type="spellEnd"/>
      <w:r w:rsidRPr="00E5094B">
        <w:rPr>
          <w:szCs w:val="20"/>
        </w:rPr>
        <w:t xml:space="preserve">, </w:t>
      </w:r>
      <w:r w:rsidRPr="00E5094B">
        <w:rPr>
          <w:i/>
          <w:szCs w:val="20"/>
        </w:rPr>
        <w:t>Program schedules, event data and telephone subscriber listings under the Database Directive: the spin-off doctrine in the Netherlands and elsewhere in Europe</w:t>
      </w:r>
      <w:r w:rsidRPr="00E5094B">
        <w:rPr>
          <w:szCs w:val="20"/>
        </w:rPr>
        <w:t xml:space="preserve">, Paper presented at the Fordham School of Law 11th Annual Conference on International Intellectual Property Law and Policy, 2003, available at </w:t>
      </w:r>
      <w:hyperlink r:id="rId7" w:history="1">
        <w:r w:rsidRPr="00E5094B">
          <w:rPr>
            <w:rStyle w:val="Hyperlink"/>
            <w:szCs w:val="20"/>
          </w:rPr>
          <w:t>https://www.ivir.nl/publicaties/download/spinofffordham.pdf</w:t>
        </w:r>
      </w:hyperlink>
      <w:r w:rsidRPr="00E5094B">
        <w:rPr>
          <w:szCs w:val="20"/>
        </w:rPr>
        <w:t>, last access</w:t>
      </w:r>
      <w:r>
        <w:rPr>
          <w:szCs w:val="20"/>
        </w:rPr>
        <w:t>ed</w:t>
      </w:r>
      <w:r w:rsidRPr="00E5094B">
        <w:rPr>
          <w:szCs w:val="20"/>
        </w:rPr>
        <w:t xml:space="preserve"> 4 May 2020, 7; E. </w:t>
      </w:r>
      <w:proofErr w:type="spellStart"/>
      <w:r w:rsidRPr="00E5094B">
        <w:rPr>
          <w:szCs w:val="20"/>
        </w:rPr>
        <w:t>Derclaye</w:t>
      </w:r>
      <w:proofErr w:type="spellEnd"/>
      <w:r w:rsidRPr="00E5094B">
        <w:rPr>
          <w:szCs w:val="20"/>
        </w:rPr>
        <w:t xml:space="preserve">, </w:t>
      </w:r>
      <w:r w:rsidRPr="00E5094B">
        <w:rPr>
          <w:i/>
          <w:szCs w:val="20"/>
        </w:rPr>
        <w:t>Databases sui generis right: should we adopt the spin off theory?</w:t>
      </w:r>
      <w:r w:rsidRPr="00E5094B">
        <w:rPr>
          <w:szCs w:val="20"/>
        </w:rPr>
        <w:t xml:space="preserve">, in </w:t>
      </w:r>
      <w:r w:rsidRPr="00E5094B">
        <w:rPr>
          <w:i/>
          <w:szCs w:val="20"/>
        </w:rPr>
        <w:t>EIPR</w:t>
      </w:r>
      <w:r w:rsidRPr="00E5094B">
        <w:rPr>
          <w:szCs w:val="20"/>
        </w:rPr>
        <w:t xml:space="preserve"> 2004, 412</w:t>
      </w:r>
      <w:r>
        <w:rPr>
          <w:szCs w:val="20"/>
        </w:rPr>
        <w:t>;</w:t>
      </w:r>
      <w:r w:rsidRPr="00E5094B">
        <w:rPr>
          <w:szCs w:val="20"/>
        </w:rPr>
        <w:t xml:space="preserve"> and E. </w:t>
      </w:r>
      <w:proofErr w:type="spellStart"/>
      <w:r w:rsidRPr="00E5094B">
        <w:rPr>
          <w:szCs w:val="20"/>
        </w:rPr>
        <w:t>Derclaye</w:t>
      </w:r>
      <w:proofErr w:type="spellEnd"/>
      <w:r w:rsidRPr="00E5094B">
        <w:rPr>
          <w:szCs w:val="20"/>
        </w:rPr>
        <w:t xml:space="preserve">, </w:t>
      </w:r>
      <w:r w:rsidRPr="00E5094B">
        <w:rPr>
          <w:i/>
          <w:szCs w:val="20"/>
        </w:rPr>
        <w:t>The legal protection of databases: a comparative analysis</w:t>
      </w:r>
      <w:r w:rsidRPr="00E5094B">
        <w:rPr>
          <w:szCs w:val="20"/>
        </w:rPr>
        <w:t xml:space="preserve">, </w:t>
      </w:r>
      <w:r w:rsidRPr="00C03174">
        <w:rPr>
          <w:i/>
          <w:szCs w:val="20"/>
        </w:rPr>
        <w:t>cit.</w:t>
      </w:r>
      <w:r w:rsidRPr="00E5094B">
        <w:rPr>
          <w:szCs w:val="20"/>
        </w:rPr>
        <w:t>, 94.</w:t>
      </w:r>
    </w:p>
  </w:footnote>
  <w:footnote w:id="30">
    <w:p w14:paraId="0C53560C" w14:textId="057EFBF3" w:rsidR="00491380" w:rsidRPr="00E5094B" w:rsidRDefault="00491380" w:rsidP="009B6433">
      <w:pPr>
        <w:pStyle w:val="Nota"/>
        <w:rPr>
          <w:szCs w:val="20"/>
        </w:rPr>
      </w:pPr>
      <w:r w:rsidRPr="00E5094B">
        <w:rPr>
          <w:rStyle w:val="FootnoteReference"/>
          <w:szCs w:val="20"/>
        </w:rPr>
        <w:footnoteRef/>
      </w:r>
      <w:r w:rsidRPr="006F2378">
        <w:rPr>
          <w:szCs w:val="20"/>
        </w:rPr>
        <w:t xml:space="preserve"> V. </w:t>
      </w:r>
      <w:proofErr w:type="spellStart"/>
      <w:r w:rsidRPr="006F2378">
        <w:rPr>
          <w:szCs w:val="20"/>
        </w:rPr>
        <w:t>Falce</w:t>
      </w:r>
      <w:proofErr w:type="spellEnd"/>
      <w:r w:rsidRPr="006F2378">
        <w:rPr>
          <w:szCs w:val="20"/>
        </w:rPr>
        <w:t xml:space="preserve">, </w:t>
      </w:r>
      <w:r w:rsidRPr="006F2378">
        <w:rPr>
          <w:i/>
          <w:szCs w:val="20"/>
        </w:rPr>
        <w:t>op. cit.</w:t>
      </w:r>
      <w:r>
        <w:rPr>
          <w:szCs w:val="20"/>
        </w:rPr>
        <w:t>,</w:t>
      </w:r>
      <w:r w:rsidRPr="006F2378">
        <w:rPr>
          <w:szCs w:val="20"/>
        </w:rPr>
        <w:t xml:space="preserve">398. </w:t>
      </w:r>
      <w:proofErr w:type="gramStart"/>
      <w:r w:rsidRPr="00E5094B">
        <w:rPr>
          <w:szCs w:val="20"/>
        </w:rPr>
        <w:t>In particular, according</w:t>
      </w:r>
      <w:proofErr w:type="gramEnd"/>
      <w:r w:rsidRPr="00E5094B">
        <w:rPr>
          <w:szCs w:val="20"/>
        </w:rPr>
        <w:t xml:space="preserve"> to th</w:t>
      </w:r>
      <w:r>
        <w:rPr>
          <w:szCs w:val="20"/>
        </w:rPr>
        <w:t>is a</w:t>
      </w:r>
      <w:r w:rsidRPr="00E5094B">
        <w:rPr>
          <w:szCs w:val="20"/>
        </w:rPr>
        <w:t xml:space="preserve">uthor, the narrow line between the creation and the obtaining of data </w:t>
      </w:r>
      <w:r>
        <w:rPr>
          <w:szCs w:val="20"/>
        </w:rPr>
        <w:t>presents a clear</w:t>
      </w:r>
      <w:r w:rsidRPr="00E5094B">
        <w:rPr>
          <w:szCs w:val="20"/>
        </w:rPr>
        <w:t xml:space="preserve"> risk that the protection could be extended to the data as such. </w:t>
      </w:r>
      <w:r>
        <w:rPr>
          <w:szCs w:val="20"/>
        </w:rPr>
        <w:t>C</w:t>
      </w:r>
      <w:r w:rsidRPr="00E5094B">
        <w:rPr>
          <w:szCs w:val="20"/>
        </w:rPr>
        <w:t xml:space="preserve">ommentators </w:t>
      </w:r>
      <w:r>
        <w:rPr>
          <w:szCs w:val="20"/>
        </w:rPr>
        <w:t>who</w:t>
      </w:r>
      <w:r w:rsidRPr="00E5094B">
        <w:rPr>
          <w:szCs w:val="20"/>
        </w:rPr>
        <w:t xml:space="preserve"> have seen in the decisions at issue a way </w:t>
      </w:r>
      <w:r>
        <w:rPr>
          <w:szCs w:val="20"/>
        </w:rPr>
        <w:t>of</w:t>
      </w:r>
      <w:r w:rsidRPr="00E5094B">
        <w:rPr>
          <w:szCs w:val="20"/>
        </w:rPr>
        <w:t xml:space="preserve"> prevent</w:t>
      </w:r>
      <w:r>
        <w:rPr>
          <w:szCs w:val="20"/>
        </w:rPr>
        <w:t>ing</w:t>
      </w:r>
      <w:r w:rsidRPr="00E5094B">
        <w:rPr>
          <w:szCs w:val="20"/>
        </w:rPr>
        <w:t xml:space="preserve"> the possible anti-monopolistic effect of the sui generis</w:t>
      </w:r>
      <w:r w:rsidRPr="00E5094B">
        <w:rPr>
          <w:i/>
          <w:szCs w:val="20"/>
        </w:rPr>
        <w:t xml:space="preserve"> </w:t>
      </w:r>
      <w:r w:rsidRPr="00E5094B">
        <w:rPr>
          <w:szCs w:val="20"/>
        </w:rPr>
        <w:t xml:space="preserve">right have </w:t>
      </w:r>
      <w:r>
        <w:rPr>
          <w:szCs w:val="20"/>
        </w:rPr>
        <w:t xml:space="preserve">also </w:t>
      </w:r>
      <w:r w:rsidRPr="00E5094B">
        <w:rPr>
          <w:szCs w:val="20"/>
        </w:rPr>
        <w:t xml:space="preserve">recognized </w:t>
      </w:r>
      <w:r>
        <w:rPr>
          <w:szCs w:val="20"/>
        </w:rPr>
        <w:t>this</w:t>
      </w:r>
      <w:r w:rsidRPr="00E5094B">
        <w:rPr>
          <w:szCs w:val="20"/>
        </w:rPr>
        <w:t xml:space="preserve"> difficulty, see e.g. M.J. Davison and P.B. </w:t>
      </w:r>
      <w:proofErr w:type="spellStart"/>
      <w:r w:rsidRPr="00E5094B">
        <w:rPr>
          <w:szCs w:val="20"/>
        </w:rPr>
        <w:t>Hugenholtz</w:t>
      </w:r>
      <w:proofErr w:type="spellEnd"/>
      <w:r w:rsidRPr="00E5094B">
        <w:rPr>
          <w:szCs w:val="20"/>
        </w:rPr>
        <w:t xml:space="preserve">, </w:t>
      </w:r>
      <w:r w:rsidRPr="00E5094B">
        <w:rPr>
          <w:i/>
          <w:szCs w:val="20"/>
        </w:rPr>
        <w:t>Football fixtures, horse races and spin-offs: the ECJ domesticates the database right</w:t>
      </w:r>
      <w:r w:rsidRPr="00E5094B">
        <w:rPr>
          <w:szCs w:val="20"/>
        </w:rPr>
        <w:t xml:space="preserve">, in </w:t>
      </w:r>
      <w:r w:rsidRPr="00E5094B">
        <w:rPr>
          <w:i/>
          <w:szCs w:val="20"/>
        </w:rPr>
        <w:t>EIPR</w:t>
      </w:r>
      <w:r w:rsidRPr="00E5094B">
        <w:rPr>
          <w:szCs w:val="20"/>
        </w:rPr>
        <w:t xml:space="preserve"> 2005, available at </w:t>
      </w:r>
      <w:hyperlink r:id="rId8" w:history="1">
        <w:r w:rsidRPr="00E5094B">
          <w:rPr>
            <w:rStyle w:val="Hyperlink"/>
            <w:szCs w:val="20"/>
          </w:rPr>
          <w:t>https://www.ivir.nl/publicaties/download/EIPR_2005_3_databaseright.pdf</w:t>
        </w:r>
      </w:hyperlink>
      <w:r w:rsidRPr="00E5094B">
        <w:rPr>
          <w:szCs w:val="20"/>
        </w:rPr>
        <w:t>, last access</w:t>
      </w:r>
      <w:r>
        <w:rPr>
          <w:szCs w:val="20"/>
        </w:rPr>
        <w:t>ed</w:t>
      </w:r>
      <w:r w:rsidRPr="00E5094B">
        <w:rPr>
          <w:szCs w:val="20"/>
        </w:rPr>
        <w:t xml:space="preserve"> 4 May 2020, 5.   </w:t>
      </w:r>
    </w:p>
  </w:footnote>
  <w:footnote w:id="31">
    <w:p w14:paraId="5DE546C3" w14:textId="0CE220D8" w:rsidR="00491380" w:rsidRPr="00E5094B" w:rsidRDefault="00491380" w:rsidP="009B6433">
      <w:pPr>
        <w:pStyle w:val="Nota"/>
        <w:rPr>
          <w:szCs w:val="20"/>
        </w:rPr>
      </w:pPr>
      <w:r w:rsidRPr="00E5094B">
        <w:rPr>
          <w:rStyle w:val="FootnoteReference"/>
          <w:szCs w:val="20"/>
        </w:rPr>
        <w:footnoteRef/>
      </w:r>
      <w:r w:rsidRPr="00E5094B">
        <w:rPr>
          <w:szCs w:val="20"/>
        </w:rPr>
        <w:t xml:space="preserve"> J. </w:t>
      </w:r>
      <w:proofErr w:type="spellStart"/>
      <w:r w:rsidRPr="00E5094B">
        <w:rPr>
          <w:szCs w:val="20"/>
        </w:rPr>
        <w:t>Gaster</w:t>
      </w:r>
      <w:proofErr w:type="spellEnd"/>
      <w:r w:rsidRPr="00E5094B">
        <w:rPr>
          <w:szCs w:val="20"/>
        </w:rPr>
        <w:t xml:space="preserve">, </w:t>
      </w:r>
      <w:r w:rsidRPr="00C03174">
        <w:rPr>
          <w:i/>
          <w:szCs w:val="20"/>
        </w:rPr>
        <w:t>“</w:t>
      </w:r>
      <w:proofErr w:type="spellStart"/>
      <w:r w:rsidRPr="00C03174">
        <w:rPr>
          <w:i/>
          <w:szCs w:val="20"/>
        </w:rPr>
        <w:t>Obtinere</w:t>
      </w:r>
      <w:proofErr w:type="spellEnd"/>
      <w:r w:rsidRPr="00C03174">
        <w:rPr>
          <w:i/>
          <w:szCs w:val="20"/>
        </w:rPr>
        <w:t xml:space="preserve">” of data in the eyes of the ECJ - How to interpret the Database Directive after British Horseracing Board Ltd et al. v. William Hill </w:t>
      </w:r>
      <w:proofErr w:type="spellStart"/>
      <w:r w:rsidRPr="00C03174">
        <w:rPr>
          <w:i/>
          <w:szCs w:val="20"/>
        </w:rPr>
        <w:t>Organisation</w:t>
      </w:r>
      <w:proofErr w:type="spellEnd"/>
      <w:r w:rsidRPr="00C03174">
        <w:rPr>
          <w:i/>
          <w:szCs w:val="20"/>
        </w:rPr>
        <w:t xml:space="preserve"> Ltd</w:t>
      </w:r>
      <w:r w:rsidRPr="00E5094B">
        <w:rPr>
          <w:szCs w:val="20"/>
        </w:rPr>
        <w:t xml:space="preserve">, in </w:t>
      </w:r>
      <w:r w:rsidRPr="00C03174">
        <w:rPr>
          <w:i/>
          <w:szCs w:val="20"/>
        </w:rPr>
        <w:t xml:space="preserve">Computer und </w:t>
      </w:r>
      <w:proofErr w:type="spellStart"/>
      <w:r w:rsidRPr="00C03174">
        <w:rPr>
          <w:i/>
          <w:szCs w:val="20"/>
        </w:rPr>
        <w:t>Recht</w:t>
      </w:r>
      <w:proofErr w:type="spellEnd"/>
      <w:r w:rsidRPr="00C03174">
        <w:rPr>
          <w:i/>
          <w:szCs w:val="20"/>
        </w:rPr>
        <w:t>: International</w:t>
      </w:r>
      <w:r w:rsidRPr="00E5094B">
        <w:rPr>
          <w:szCs w:val="20"/>
        </w:rPr>
        <w:t xml:space="preserve"> 2005, 135. See also, M.J. Davison and P.B. </w:t>
      </w:r>
      <w:proofErr w:type="spellStart"/>
      <w:r w:rsidRPr="00E5094B">
        <w:rPr>
          <w:szCs w:val="20"/>
        </w:rPr>
        <w:t>Hugenholtz</w:t>
      </w:r>
      <w:proofErr w:type="spellEnd"/>
      <w:r w:rsidRPr="00E5094B">
        <w:rPr>
          <w:szCs w:val="20"/>
        </w:rPr>
        <w:t xml:space="preserve">, </w:t>
      </w:r>
      <w:r w:rsidRPr="00C03174">
        <w:rPr>
          <w:i/>
          <w:szCs w:val="20"/>
        </w:rPr>
        <w:t>op. cit</w:t>
      </w:r>
      <w:r w:rsidRPr="00E5094B">
        <w:rPr>
          <w:szCs w:val="20"/>
        </w:rPr>
        <w:t>., 6.</w:t>
      </w:r>
    </w:p>
  </w:footnote>
  <w:footnote w:id="32">
    <w:p w14:paraId="289FF8D1" w14:textId="3DC5DCD1" w:rsidR="00491380" w:rsidRPr="00E5094B" w:rsidRDefault="00491380" w:rsidP="009B6433">
      <w:pPr>
        <w:pStyle w:val="Nota"/>
        <w:rPr>
          <w:szCs w:val="20"/>
        </w:rPr>
      </w:pPr>
      <w:r w:rsidRPr="00E5094B">
        <w:rPr>
          <w:rStyle w:val="FootnoteReference"/>
          <w:szCs w:val="20"/>
        </w:rPr>
        <w:footnoteRef/>
      </w:r>
      <w:r w:rsidRPr="00E5094B">
        <w:rPr>
          <w:szCs w:val="20"/>
        </w:rPr>
        <w:t xml:space="preserve"> M.J. Davison and P.B. </w:t>
      </w:r>
      <w:proofErr w:type="spellStart"/>
      <w:r w:rsidRPr="00E5094B">
        <w:rPr>
          <w:szCs w:val="20"/>
        </w:rPr>
        <w:t>Hugenholtz</w:t>
      </w:r>
      <w:proofErr w:type="spellEnd"/>
      <w:r w:rsidRPr="00E5094B">
        <w:rPr>
          <w:szCs w:val="20"/>
        </w:rPr>
        <w:t xml:space="preserve">, </w:t>
      </w:r>
      <w:r w:rsidRPr="00E5094B">
        <w:rPr>
          <w:i/>
          <w:szCs w:val="20"/>
        </w:rPr>
        <w:t>op. cit.</w:t>
      </w:r>
      <w:r w:rsidRPr="00E5094B">
        <w:rPr>
          <w:szCs w:val="20"/>
        </w:rPr>
        <w:t>, 6.</w:t>
      </w:r>
    </w:p>
  </w:footnote>
  <w:footnote w:id="33">
    <w:p w14:paraId="7F49D388" w14:textId="41CDFFD5" w:rsidR="00491380" w:rsidRPr="00E5094B" w:rsidRDefault="00491380" w:rsidP="009B6433">
      <w:pPr>
        <w:pStyle w:val="Nota"/>
        <w:rPr>
          <w:szCs w:val="20"/>
        </w:rPr>
      </w:pPr>
      <w:r w:rsidRPr="00E5094B">
        <w:rPr>
          <w:rStyle w:val="FootnoteReference"/>
          <w:szCs w:val="20"/>
        </w:rPr>
        <w:footnoteRef/>
      </w:r>
      <w:r w:rsidRPr="00E5094B">
        <w:rPr>
          <w:szCs w:val="20"/>
        </w:rPr>
        <w:t xml:space="preserve"> </w:t>
      </w:r>
      <w:r w:rsidRPr="00C03174">
        <w:rPr>
          <w:i/>
          <w:szCs w:val="20"/>
        </w:rPr>
        <w:t>Ibidem</w:t>
      </w:r>
      <w:r w:rsidRPr="00E5094B">
        <w:rPr>
          <w:szCs w:val="20"/>
        </w:rPr>
        <w:t>.</w:t>
      </w:r>
    </w:p>
  </w:footnote>
  <w:footnote w:id="34">
    <w:p w14:paraId="7AD70B59" w14:textId="1C228D2E" w:rsidR="00491380" w:rsidRPr="00E5094B" w:rsidRDefault="00491380" w:rsidP="009B6433">
      <w:pPr>
        <w:pStyle w:val="Nota"/>
        <w:rPr>
          <w:i/>
          <w:szCs w:val="20"/>
        </w:rPr>
      </w:pPr>
      <w:r w:rsidRPr="00E5094B">
        <w:rPr>
          <w:rStyle w:val="FootnoteReference"/>
          <w:szCs w:val="20"/>
        </w:rPr>
        <w:footnoteRef/>
      </w:r>
      <w:r w:rsidRPr="00E5094B">
        <w:rPr>
          <w:szCs w:val="20"/>
        </w:rPr>
        <w:t xml:space="preserve"> </w:t>
      </w:r>
      <w:proofErr w:type="spellStart"/>
      <w:r w:rsidRPr="00E5094B">
        <w:rPr>
          <w:i/>
          <w:szCs w:val="20"/>
        </w:rPr>
        <w:t>Ivi</w:t>
      </w:r>
      <w:proofErr w:type="spellEnd"/>
      <w:r w:rsidRPr="00E5094B">
        <w:rPr>
          <w:szCs w:val="20"/>
        </w:rPr>
        <w:t xml:space="preserve">, 7. However, according to E. </w:t>
      </w:r>
      <w:proofErr w:type="spellStart"/>
      <w:r w:rsidRPr="00E5094B">
        <w:rPr>
          <w:szCs w:val="20"/>
        </w:rPr>
        <w:t>Derclaye</w:t>
      </w:r>
      <w:proofErr w:type="spellEnd"/>
      <w:r w:rsidRPr="00E5094B">
        <w:rPr>
          <w:szCs w:val="20"/>
        </w:rPr>
        <w:t xml:space="preserve">, </w:t>
      </w:r>
      <w:proofErr w:type="gramStart"/>
      <w:r w:rsidRPr="00E5094B">
        <w:rPr>
          <w:i/>
          <w:szCs w:val="20"/>
        </w:rPr>
        <w:t>The</w:t>
      </w:r>
      <w:proofErr w:type="gramEnd"/>
      <w:r w:rsidRPr="00E5094B">
        <w:rPr>
          <w:i/>
          <w:szCs w:val="20"/>
        </w:rPr>
        <w:t xml:space="preserve"> legal protection of databases: a comparative analysis</w:t>
      </w:r>
      <w:r w:rsidRPr="00E5094B">
        <w:rPr>
          <w:szCs w:val="20"/>
        </w:rPr>
        <w:t xml:space="preserve">, </w:t>
      </w:r>
      <w:r w:rsidRPr="00E5094B">
        <w:rPr>
          <w:i/>
          <w:szCs w:val="20"/>
        </w:rPr>
        <w:t>cit.</w:t>
      </w:r>
      <w:r w:rsidRPr="00E5094B">
        <w:rPr>
          <w:szCs w:val="20"/>
        </w:rPr>
        <w:t>, 96-97, this “getting around”</w:t>
      </w:r>
      <w:r>
        <w:rPr>
          <w:szCs w:val="20"/>
        </w:rPr>
        <w:t xml:space="preserve">, </w:t>
      </w:r>
      <w:r w:rsidRPr="00E5094B">
        <w:rPr>
          <w:szCs w:val="20"/>
        </w:rPr>
        <w:t xml:space="preserve">does not trigger protection, because the investment should be directed at producing a database (see also T.F. </w:t>
      </w:r>
      <w:proofErr w:type="spellStart"/>
      <w:r w:rsidRPr="00E5094B">
        <w:rPr>
          <w:szCs w:val="20"/>
        </w:rPr>
        <w:t>Aplin</w:t>
      </w:r>
      <w:proofErr w:type="spellEnd"/>
      <w:r w:rsidRPr="00E5094B">
        <w:rPr>
          <w:szCs w:val="20"/>
        </w:rPr>
        <w:t xml:space="preserve">, </w:t>
      </w:r>
      <w:r w:rsidRPr="00E5094B">
        <w:rPr>
          <w:i/>
          <w:szCs w:val="20"/>
        </w:rPr>
        <w:t>Copyright in the digital society – The challenges of multimedia</w:t>
      </w:r>
      <w:r w:rsidRPr="00E5094B">
        <w:rPr>
          <w:szCs w:val="20"/>
        </w:rPr>
        <w:t>, Hart Publishing, Oxford, 2005,</w:t>
      </w:r>
      <w:r>
        <w:rPr>
          <w:szCs w:val="20"/>
        </w:rPr>
        <w:t xml:space="preserve"> 67-68).</w:t>
      </w:r>
      <w:r w:rsidRPr="00E5094B">
        <w:rPr>
          <w:szCs w:val="20"/>
        </w:rPr>
        <w:t xml:space="preserve"> Despite the prestige and authority of the </w:t>
      </w:r>
      <w:r>
        <w:rPr>
          <w:szCs w:val="20"/>
        </w:rPr>
        <w:t>a</w:t>
      </w:r>
      <w:r w:rsidRPr="00E5094B">
        <w:rPr>
          <w:szCs w:val="20"/>
        </w:rPr>
        <w:t>uthor and her opinion, we respectfully disagree, because this could prevent application of the protection in the cases in which the database</w:t>
      </w:r>
      <w:r>
        <w:rPr>
          <w:szCs w:val="20"/>
        </w:rPr>
        <w:t>-</w:t>
      </w:r>
      <w:r w:rsidRPr="00E5094B">
        <w:rPr>
          <w:szCs w:val="20"/>
        </w:rPr>
        <w:t xml:space="preserve">maker </w:t>
      </w:r>
      <w:r>
        <w:rPr>
          <w:szCs w:val="20"/>
        </w:rPr>
        <w:t xml:space="preserve">needs </w:t>
      </w:r>
      <w:r w:rsidRPr="00E5094B">
        <w:rPr>
          <w:szCs w:val="20"/>
        </w:rPr>
        <w:t>to acquire from the same source</w:t>
      </w:r>
      <w:r>
        <w:rPr>
          <w:szCs w:val="20"/>
        </w:rPr>
        <w:t xml:space="preserve">, </w:t>
      </w:r>
      <w:r w:rsidRPr="00E5094B">
        <w:rPr>
          <w:szCs w:val="20"/>
        </w:rPr>
        <w:t xml:space="preserve">against a payment, </w:t>
      </w:r>
      <w:r>
        <w:rPr>
          <w:szCs w:val="20"/>
        </w:rPr>
        <w:t>some of the da</w:t>
      </w:r>
      <w:r w:rsidRPr="00E5094B">
        <w:rPr>
          <w:szCs w:val="20"/>
        </w:rPr>
        <w:t xml:space="preserve">ta constituting its databases. Moreover, even </w:t>
      </w:r>
      <w:r>
        <w:rPr>
          <w:szCs w:val="20"/>
        </w:rPr>
        <w:t xml:space="preserve">if we </w:t>
      </w:r>
      <w:r w:rsidRPr="00E5094B">
        <w:rPr>
          <w:szCs w:val="20"/>
        </w:rPr>
        <w:t xml:space="preserve">accept this argument, the question </w:t>
      </w:r>
      <w:r>
        <w:rPr>
          <w:szCs w:val="20"/>
        </w:rPr>
        <w:t>remains</w:t>
      </w:r>
      <w:r w:rsidRPr="00E5094B">
        <w:rPr>
          <w:szCs w:val="20"/>
        </w:rPr>
        <w:t xml:space="preserve">: how </w:t>
      </w:r>
      <w:r>
        <w:rPr>
          <w:szCs w:val="20"/>
        </w:rPr>
        <w:t xml:space="preserve">do you draw </w:t>
      </w:r>
      <w:r w:rsidRPr="00E5094B">
        <w:rPr>
          <w:szCs w:val="20"/>
        </w:rPr>
        <w:t xml:space="preserve">a line between the acquisition of a set of data and the acquisition of an already made database? </w:t>
      </w:r>
    </w:p>
  </w:footnote>
  <w:footnote w:id="35">
    <w:p w14:paraId="0F7FB3AB" w14:textId="6C410E31" w:rsidR="00491380" w:rsidRPr="00E5094B" w:rsidRDefault="00491380" w:rsidP="009B6433">
      <w:pPr>
        <w:pStyle w:val="Nota"/>
        <w:rPr>
          <w:szCs w:val="20"/>
        </w:rPr>
      </w:pPr>
      <w:r w:rsidRPr="00E5094B">
        <w:rPr>
          <w:rStyle w:val="FootnoteReference"/>
          <w:szCs w:val="20"/>
        </w:rPr>
        <w:footnoteRef/>
      </w:r>
      <w:r w:rsidRPr="00E5094B">
        <w:rPr>
          <w:szCs w:val="20"/>
        </w:rPr>
        <w:t xml:space="preserve"> Some scholars, even before the 2004 judgments, highlighted that the distinction between the production of data and </w:t>
      </w:r>
      <w:r>
        <w:rPr>
          <w:szCs w:val="20"/>
        </w:rPr>
        <w:t>its</w:t>
      </w:r>
      <w:r w:rsidRPr="00E5094B">
        <w:rPr>
          <w:szCs w:val="20"/>
        </w:rPr>
        <w:t xml:space="preserve"> acquisition is not reflected in the Directive. Thus, </w:t>
      </w:r>
      <w:r>
        <w:rPr>
          <w:szCs w:val="20"/>
        </w:rPr>
        <w:t>“</w:t>
      </w:r>
      <w:r w:rsidRPr="00E5094B">
        <w:rPr>
          <w:i/>
          <w:szCs w:val="20"/>
        </w:rPr>
        <w:t>costs incurred by generating information are analogously to be considered as “obtaining”</w:t>
      </w:r>
      <w:r w:rsidRPr="00E5094B">
        <w:rPr>
          <w:szCs w:val="20"/>
        </w:rPr>
        <w:t xml:space="preserve">, even if this activity as such is not sufficient to trigger the protection. See G. </w:t>
      </w:r>
      <w:proofErr w:type="spellStart"/>
      <w:r w:rsidRPr="00E5094B">
        <w:rPr>
          <w:szCs w:val="20"/>
        </w:rPr>
        <w:t>Westkamp</w:t>
      </w:r>
      <w:proofErr w:type="spellEnd"/>
      <w:r w:rsidRPr="00E5094B">
        <w:rPr>
          <w:szCs w:val="20"/>
        </w:rPr>
        <w:t xml:space="preserve">, </w:t>
      </w:r>
      <w:r w:rsidRPr="00E5094B">
        <w:rPr>
          <w:i/>
          <w:szCs w:val="20"/>
        </w:rPr>
        <w:t>EU database protection for information uses under an intellectual property scheme: has the time arrived</w:t>
      </w:r>
      <w:r w:rsidRPr="00E5094B">
        <w:rPr>
          <w:szCs w:val="20"/>
        </w:rPr>
        <w:t xml:space="preserve"> </w:t>
      </w:r>
      <w:r w:rsidRPr="00E5094B">
        <w:rPr>
          <w:i/>
          <w:szCs w:val="20"/>
        </w:rPr>
        <w:t xml:space="preserve">for a flexible assessment of the European Database </w:t>
      </w:r>
      <w:proofErr w:type="gramStart"/>
      <w:r w:rsidRPr="00E5094B">
        <w:rPr>
          <w:i/>
          <w:szCs w:val="20"/>
        </w:rPr>
        <w:t>Directive?</w:t>
      </w:r>
      <w:r w:rsidRPr="00E5094B">
        <w:rPr>
          <w:szCs w:val="20"/>
        </w:rPr>
        <w:t>,</w:t>
      </w:r>
      <w:proofErr w:type="gramEnd"/>
      <w:r w:rsidRPr="00E5094B">
        <w:rPr>
          <w:szCs w:val="20"/>
        </w:rPr>
        <w:t xml:space="preserve"> Paper presented at the Fordham School of Law 11th Annual Conference on International Intellectual Property Law and Policy, 2003, available at </w:t>
      </w:r>
      <w:hyperlink r:id="rId9" w:history="1">
        <w:r w:rsidRPr="00E5094B">
          <w:rPr>
            <w:rStyle w:val="Hyperlink"/>
            <w:szCs w:val="20"/>
          </w:rPr>
          <w:t>https://ssrn.com/abstract=1115432</w:t>
        </w:r>
      </w:hyperlink>
      <w:r w:rsidRPr="00E5094B">
        <w:rPr>
          <w:szCs w:val="20"/>
        </w:rPr>
        <w:t>, last access</w:t>
      </w:r>
      <w:r>
        <w:rPr>
          <w:szCs w:val="20"/>
        </w:rPr>
        <w:t>ed</w:t>
      </w:r>
      <w:r w:rsidRPr="00E5094B">
        <w:rPr>
          <w:szCs w:val="20"/>
        </w:rPr>
        <w:t xml:space="preserve"> 5 May 2020, 7.</w:t>
      </w:r>
    </w:p>
  </w:footnote>
  <w:footnote w:id="36">
    <w:p w14:paraId="6D916D1E" w14:textId="1B89B303" w:rsidR="00491380" w:rsidRPr="00E5094B" w:rsidRDefault="00491380" w:rsidP="009B6433">
      <w:pPr>
        <w:pStyle w:val="Nota"/>
        <w:rPr>
          <w:szCs w:val="20"/>
          <w:lang w:val="it-IT"/>
        </w:rPr>
      </w:pPr>
      <w:r w:rsidRPr="00E5094B">
        <w:rPr>
          <w:rStyle w:val="FootnoteReference"/>
          <w:szCs w:val="20"/>
        </w:rPr>
        <w:footnoteRef/>
      </w:r>
      <w:r w:rsidRPr="00E5094B">
        <w:rPr>
          <w:szCs w:val="20"/>
          <w:lang w:val="it-IT"/>
        </w:rPr>
        <w:t xml:space="preserve"> </w:t>
      </w:r>
      <w:r w:rsidRPr="00E5094B">
        <w:rPr>
          <w:i/>
          <w:szCs w:val="20"/>
          <w:lang w:val="it-IT"/>
        </w:rPr>
        <w:t>Ivi</w:t>
      </w:r>
      <w:r w:rsidRPr="00E5094B">
        <w:rPr>
          <w:szCs w:val="20"/>
          <w:lang w:val="it-IT"/>
        </w:rPr>
        <w:t>, 117.</w:t>
      </w:r>
    </w:p>
  </w:footnote>
  <w:footnote w:id="37">
    <w:p w14:paraId="55833559" w14:textId="49B15F26" w:rsidR="00491380" w:rsidRPr="00E5094B" w:rsidRDefault="00491380" w:rsidP="009B6433">
      <w:pPr>
        <w:pStyle w:val="Nota"/>
        <w:rPr>
          <w:szCs w:val="20"/>
          <w:lang w:val="it-IT"/>
        </w:rPr>
      </w:pPr>
      <w:r w:rsidRPr="00E5094B">
        <w:rPr>
          <w:rStyle w:val="FootnoteReference"/>
          <w:szCs w:val="20"/>
        </w:rPr>
        <w:footnoteRef/>
      </w:r>
      <w:r w:rsidRPr="00E5094B">
        <w:rPr>
          <w:szCs w:val="20"/>
          <w:lang w:val="it-IT"/>
        </w:rPr>
        <w:t xml:space="preserve"> </w:t>
      </w:r>
      <w:r w:rsidRPr="00C03174">
        <w:rPr>
          <w:i/>
          <w:szCs w:val="20"/>
          <w:lang w:val="it-IT"/>
        </w:rPr>
        <w:t>Ibidem</w:t>
      </w:r>
      <w:r w:rsidRPr="00E5094B">
        <w:rPr>
          <w:szCs w:val="20"/>
          <w:lang w:val="it-IT"/>
        </w:rPr>
        <w:t>.</w:t>
      </w:r>
    </w:p>
  </w:footnote>
  <w:footnote w:id="38">
    <w:p w14:paraId="7006077D" w14:textId="37B526A4" w:rsidR="00491380" w:rsidRPr="00E5094B" w:rsidRDefault="00491380" w:rsidP="009B6433">
      <w:pPr>
        <w:pStyle w:val="Nota"/>
        <w:rPr>
          <w:szCs w:val="20"/>
          <w:lang w:val="it-IT"/>
        </w:rPr>
      </w:pPr>
      <w:r w:rsidRPr="00E5094B">
        <w:rPr>
          <w:rStyle w:val="FootnoteReference"/>
          <w:szCs w:val="20"/>
        </w:rPr>
        <w:footnoteRef/>
      </w:r>
      <w:r w:rsidRPr="00E5094B">
        <w:rPr>
          <w:szCs w:val="20"/>
          <w:lang w:val="it-IT"/>
        </w:rPr>
        <w:t xml:space="preserve"> </w:t>
      </w:r>
      <w:r w:rsidRPr="00E5094B">
        <w:rPr>
          <w:szCs w:val="20"/>
          <w:lang w:val="it-IT"/>
        </w:rPr>
        <w:t xml:space="preserve">G. Noto La Diega, </w:t>
      </w:r>
      <w:r w:rsidRPr="00E5094B">
        <w:rPr>
          <w:i/>
          <w:szCs w:val="20"/>
          <w:lang w:val="it-IT"/>
        </w:rPr>
        <w:t>op. cit.</w:t>
      </w:r>
      <w:r w:rsidRPr="00E5094B">
        <w:rPr>
          <w:szCs w:val="20"/>
          <w:lang w:val="it-IT"/>
        </w:rPr>
        <w:t>, 118.</w:t>
      </w:r>
    </w:p>
  </w:footnote>
  <w:footnote w:id="39">
    <w:p w14:paraId="180AB803" w14:textId="3326CAA3" w:rsidR="00491380" w:rsidRPr="00E5094B" w:rsidRDefault="00491380" w:rsidP="009B6433">
      <w:pPr>
        <w:pStyle w:val="Nota"/>
        <w:rPr>
          <w:szCs w:val="20"/>
        </w:rPr>
      </w:pPr>
      <w:r w:rsidRPr="00E5094B">
        <w:rPr>
          <w:rStyle w:val="FootnoteReference"/>
          <w:szCs w:val="20"/>
        </w:rPr>
        <w:footnoteRef/>
      </w:r>
      <w:r w:rsidRPr="00E5094B">
        <w:rPr>
          <w:szCs w:val="20"/>
        </w:rPr>
        <w:t xml:space="preserve"> JIIP and Technopolis Group, </w:t>
      </w:r>
      <w:r w:rsidRPr="00E5094B">
        <w:rPr>
          <w:i/>
          <w:szCs w:val="20"/>
        </w:rPr>
        <w:t>op. cit.</w:t>
      </w:r>
      <w:r w:rsidRPr="00E5094B">
        <w:rPr>
          <w:szCs w:val="20"/>
        </w:rPr>
        <w:t>, 26.</w:t>
      </w:r>
    </w:p>
  </w:footnote>
  <w:footnote w:id="40">
    <w:p w14:paraId="0F8E40D5" w14:textId="4B8D7265" w:rsidR="00491380" w:rsidRPr="00E5094B" w:rsidRDefault="00491380" w:rsidP="009B6433">
      <w:pPr>
        <w:pStyle w:val="Nota"/>
        <w:rPr>
          <w:szCs w:val="20"/>
        </w:rPr>
      </w:pPr>
      <w:r w:rsidRPr="00E5094B">
        <w:rPr>
          <w:rStyle w:val="FootnoteReference"/>
          <w:szCs w:val="20"/>
        </w:rPr>
        <w:footnoteRef/>
      </w:r>
      <w:r w:rsidRPr="00E5094B">
        <w:rPr>
          <w:szCs w:val="20"/>
        </w:rPr>
        <w:t xml:space="preserve"> E. </w:t>
      </w:r>
      <w:proofErr w:type="spellStart"/>
      <w:r w:rsidRPr="00E5094B">
        <w:rPr>
          <w:szCs w:val="20"/>
        </w:rPr>
        <w:t>Derclaye</w:t>
      </w:r>
      <w:proofErr w:type="spellEnd"/>
      <w:r w:rsidRPr="00E5094B">
        <w:rPr>
          <w:szCs w:val="20"/>
        </w:rPr>
        <w:t xml:space="preserve">, </w:t>
      </w:r>
      <w:r w:rsidRPr="00C03174">
        <w:rPr>
          <w:i/>
          <w:szCs w:val="20"/>
        </w:rPr>
        <w:t>The legal protection of databases: a comparative analysis</w:t>
      </w:r>
      <w:r w:rsidRPr="00E5094B">
        <w:rPr>
          <w:szCs w:val="20"/>
        </w:rPr>
        <w:t xml:space="preserve">, </w:t>
      </w:r>
      <w:r w:rsidRPr="00C03174">
        <w:rPr>
          <w:i/>
          <w:szCs w:val="20"/>
        </w:rPr>
        <w:t>cit</w:t>
      </w:r>
      <w:r w:rsidRPr="00E5094B">
        <w:rPr>
          <w:szCs w:val="20"/>
        </w:rPr>
        <w:t>., 98-99.</w:t>
      </w:r>
    </w:p>
  </w:footnote>
  <w:footnote w:id="41">
    <w:p w14:paraId="7574C7EB" w14:textId="6B10FA64" w:rsidR="00491380" w:rsidRPr="00D52B4C" w:rsidRDefault="00491380" w:rsidP="009B6433">
      <w:pPr>
        <w:pStyle w:val="Nota"/>
        <w:rPr>
          <w:szCs w:val="20"/>
        </w:rPr>
      </w:pPr>
      <w:r w:rsidRPr="00E5094B">
        <w:rPr>
          <w:rStyle w:val="FootnoteReference"/>
          <w:szCs w:val="20"/>
        </w:rPr>
        <w:footnoteRef/>
      </w:r>
      <w:r w:rsidRPr="00E5094B">
        <w:rPr>
          <w:szCs w:val="20"/>
        </w:rPr>
        <w:t xml:space="preserve"> See M.J. Davison and P.B. </w:t>
      </w:r>
      <w:proofErr w:type="spellStart"/>
      <w:r w:rsidRPr="00E5094B">
        <w:rPr>
          <w:szCs w:val="20"/>
        </w:rPr>
        <w:t>Hugenholtz</w:t>
      </w:r>
      <w:proofErr w:type="spellEnd"/>
      <w:r w:rsidRPr="00E5094B">
        <w:rPr>
          <w:szCs w:val="20"/>
        </w:rPr>
        <w:t xml:space="preserve">, </w:t>
      </w:r>
      <w:r w:rsidRPr="00E5094B">
        <w:rPr>
          <w:i/>
          <w:szCs w:val="20"/>
        </w:rPr>
        <w:t>op. cit.</w:t>
      </w:r>
      <w:r w:rsidRPr="00E5094B">
        <w:rPr>
          <w:szCs w:val="20"/>
        </w:rPr>
        <w:t xml:space="preserve">, 6. According to these two </w:t>
      </w:r>
      <w:r>
        <w:rPr>
          <w:szCs w:val="20"/>
        </w:rPr>
        <w:t>a</w:t>
      </w:r>
      <w:r w:rsidRPr="00E5094B">
        <w:rPr>
          <w:szCs w:val="20"/>
        </w:rPr>
        <w:t xml:space="preserve">uthors, because of the strict approach adopted by the CJEU in 2004, recorded data should be considered </w:t>
      </w:r>
      <w:r>
        <w:rPr>
          <w:szCs w:val="20"/>
        </w:rPr>
        <w:t xml:space="preserve">as </w:t>
      </w:r>
      <w:r w:rsidRPr="00E5094B">
        <w:rPr>
          <w:szCs w:val="20"/>
        </w:rPr>
        <w:t>created and not obtained</w:t>
      </w:r>
      <w:r>
        <w:rPr>
          <w:szCs w:val="20"/>
        </w:rPr>
        <w:t>,</w:t>
      </w:r>
      <w:r w:rsidRPr="00E5094B">
        <w:rPr>
          <w:szCs w:val="20"/>
        </w:rPr>
        <w:t xml:space="preserve"> because they are just representations of the phenomena and not the phenomena themselves. </w:t>
      </w:r>
      <w:r>
        <w:rPr>
          <w:szCs w:val="20"/>
        </w:rPr>
        <w:t xml:space="preserve">See also J. </w:t>
      </w:r>
      <w:proofErr w:type="spellStart"/>
      <w:r>
        <w:rPr>
          <w:szCs w:val="20"/>
        </w:rPr>
        <w:t>Drexl</w:t>
      </w:r>
      <w:proofErr w:type="spellEnd"/>
      <w:r>
        <w:rPr>
          <w:szCs w:val="20"/>
        </w:rPr>
        <w:t xml:space="preserve">, </w:t>
      </w:r>
      <w:r>
        <w:rPr>
          <w:i/>
          <w:szCs w:val="20"/>
        </w:rPr>
        <w:t xml:space="preserve">Design competitive markets for industrial data – Between </w:t>
      </w:r>
      <w:proofErr w:type="spellStart"/>
      <w:r>
        <w:rPr>
          <w:i/>
          <w:szCs w:val="20"/>
        </w:rPr>
        <w:t>propertisation</w:t>
      </w:r>
      <w:proofErr w:type="spellEnd"/>
      <w:r>
        <w:rPr>
          <w:i/>
          <w:szCs w:val="20"/>
        </w:rPr>
        <w:t xml:space="preserve"> and access</w:t>
      </w:r>
      <w:r>
        <w:rPr>
          <w:szCs w:val="20"/>
        </w:rPr>
        <w:t xml:space="preserve">, in </w:t>
      </w:r>
      <w:r>
        <w:rPr>
          <w:i/>
          <w:szCs w:val="20"/>
        </w:rPr>
        <w:t>JIPITEC</w:t>
      </w:r>
      <w:r>
        <w:rPr>
          <w:szCs w:val="20"/>
        </w:rPr>
        <w:t>, 2017, 268.</w:t>
      </w:r>
    </w:p>
  </w:footnote>
  <w:footnote w:id="42">
    <w:p w14:paraId="11399DC6" w14:textId="7C028A3D" w:rsidR="00491380" w:rsidRPr="00E5094B" w:rsidRDefault="00491380" w:rsidP="009B6433">
      <w:pPr>
        <w:pStyle w:val="Nota"/>
        <w:rPr>
          <w:szCs w:val="20"/>
        </w:rPr>
      </w:pPr>
      <w:r w:rsidRPr="00E5094B">
        <w:rPr>
          <w:rStyle w:val="FootnoteReference"/>
          <w:szCs w:val="20"/>
        </w:rPr>
        <w:footnoteRef/>
      </w:r>
      <w:r w:rsidRPr="00E5094B">
        <w:rPr>
          <w:szCs w:val="20"/>
        </w:rPr>
        <w:t xml:space="preserve"> E. </w:t>
      </w:r>
      <w:proofErr w:type="spellStart"/>
      <w:r w:rsidRPr="00E5094B">
        <w:rPr>
          <w:szCs w:val="20"/>
        </w:rPr>
        <w:t>Derclaye</w:t>
      </w:r>
      <w:proofErr w:type="spellEnd"/>
      <w:r w:rsidRPr="00E5094B">
        <w:rPr>
          <w:szCs w:val="20"/>
        </w:rPr>
        <w:t xml:space="preserve">, </w:t>
      </w:r>
      <w:proofErr w:type="gramStart"/>
      <w:r w:rsidRPr="00E5094B">
        <w:rPr>
          <w:i/>
          <w:szCs w:val="20"/>
        </w:rPr>
        <w:t>The</w:t>
      </w:r>
      <w:proofErr w:type="gramEnd"/>
      <w:r w:rsidRPr="00E5094B">
        <w:rPr>
          <w:i/>
          <w:szCs w:val="20"/>
        </w:rPr>
        <w:t xml:space="preserve"> legal protection of databases: a comparative analysis</w:t>
      </w:r>
      <w:r w:rsidRPr="00E5094B">
        <w:rPr>
          <w:szCs w:val="20"/>
        </w:rPr>
        <w:t xml:space="preserve">, </w:t>
      </w:r>
      <w:r w:rsidRPr="00E5094B">
        <w:rPr>
          <w:i/>
          <w:szCs w:val="20"/>
        </w:rPr>
        <w:t>cit.</w:t>
      </w:r>
      <w:r w:rsidRPr="00E5094B">
        <w:rPr>
          <w:szCs w:val="20"/>
        </w:rPr>
        <w:t xml:space="preserve">, 99. Here, the </w:t>
      </w:r>
      <w:r>
        <w:rPr>
          <w:szCs w:val="20"/>
        </w:rPr>
        <w:t>a</w:t>
      </w:r>
      <w:r w:rsidRPr="00E5094B">
        <w:rPr>
          <w:szCs w:val="20"/>
        </w:rPr>
        <w:t xml:space="preserve">uthor seems to recognize that investment related to the recording of </w:t>
      </w:r>
      <w:r>
        <w:rPr>
          <w:szCs w:val="20"/>
        </w:rPr>
        <w:t>such</w:t>
      </w:r>
      <w:r w:rsidRPr="00E5094B">
        <w:rPr>
          <w:szCs w:val="20"/>
        </w:rPr>
        <w:t xml:space="preserve"> data could be considered </w:t>
      </w:r>
      <w:r>
        <w:rPr>
          <w:szCs w:val="20"/>
        </w:rPr>
        <w:t xml:space="preserve">as </w:t>
      </w:r>
      <w:r w:rsidRPr="00E5094B">
        <w:rPr>
          <w:szCs w:val="20"/>
        </w:rPr>
        <w:t>trigger</w:t>
      </w:r>
      <w:r>
        <w:rPr>
          <w:szCs w:val="20"/>
        </w:rPr>
        <w:t>ing</w:t>
      </w:r>
      <w:r w:rsidRPr="00E5094B">
        <w:rPr>
          <w:szCs w:val="20"/>
        </w:rPr>
        <w:t xml:space="preserve"> the </w:t>
      </w:r>
      <w:r w:rsidRPr="00E5094B">
        <w:rPr>
          <w:i/>
          <w:szCs w:val="20"/>
        </w:rPr>
        <w:t xml:space="preserve">sui generis </w:t>
      </w:r>
      <w:r w:rsidRPr="00E5094B">
        <w:rPr>
          <w:szCs w:val="20"/>
        </w:rPr>
        <w:t xml:space="preserve">protection. Indeed, according to her view, they pre-exist in nature and anyone could record them, without creating </w:t>
      </w:r>
      <w:r>
        <w:rPr>
          <w:szCs w:val="20"/>
        </w:rPr>
        <w:t xml:space="preserve">a </w:t>
      </w:r>
      <w:r w:rsidRPr="00E5094B">
        <w:rPr>
          <w:szCs w:val="20"/>
        </w:rPr>
        <w:t>monopoly. However, she also point</w:t>
      </w:r>
      <w:r>
        <w:rPr>
          <w:szCs w:val="20"/>
        </w:rPr>
        <w:t>s</w:t>
      </w:r>
      <w:r w:rsidRPr="00E5094B">
        <w:rPr>
          <w:szCs w:val="20"/>
        </w:rPr>
        <w:t xml:space="preserve"> out that there could be the risk of </w:t>
      </w:r>
      <w:r>
        <w:rPr>
          <w:szCs w:val="20"/>
        </w:rPr>
        <w:t xml:space="preserve">a </w:t>
      </w:r>
      <w:r w:rsidRPr="00E5094B">
        <w:rPr>
          <w:szCs w:val="20"/>
        </w:rPr>
        <w:t>monopoly or dominant position</w:t>
      </w:r>
      <w:r>
        <w:rPr>
          <w:szCs w:val="20"/>
        </w:rPr>
        <w:t xml:space="preserve"> being established </w:t>
      </w:r>
      <w:r w:rsidRPr="00E5094B">
        <w:rPr>
          <w:szCs w:val="20"/>
        </w:rPr>
        <w:t>when the cost</w:t>
      </w:r>
      <w:r>
        <w:rPr>
          <w:szCs w:val="20"/>
        </w:rPr>
        <w:t xml:space="preserve"> of</w:t>
      </w:r>
      <w:r w:rsidRPr="00E5094B">
        <w:rPr>
          <w:szCs w:val="20"/>
        </w:rPr>
        <w:t xml:space="preserve"> for recording the data </w:t>
      </w:r>
      <w:r>
        <w:rPr>
          <w:szCs w:val="20"/>
        </w:rPr>
        <w:t>is</w:t>
      </w:r>
      <w:r w:rsidRPr="00E5094B">
        <w:rPr>
          <w:szCs w:val="20"/>
        </w:rPr>
        <w:t xml:space="preserve"> very high, thus enabling only </w:t>
      </w:r>
      <w:r>
        <w:rPr>
          <w:szCs w:val="20"/>
        </w:rPr>
        <w:t xml:space="preserve">a </w:t>
      </w:r>
      <w:r w:rsidRPr="00E5094B">
        <w:rPr>
          <w:szCs w:val="20"/>
        </w:rPr>
        <w:t>few entities to collect them.</w:t>
      </w:r>
    </w:p>
  </w:footnote>
  <w:footnote w:id="43">
    <w:p w14:paraId="76971F6C" w14:textId="02033404" w:rsidR="00491380" w:rsidRPr="00E5094B" w:rsidRDefault="00491380" w:rsidP="009B6433">
      <w:pPr>
        <w:pStyle w:val="Nota"/>
        <w:rPr>
          <w:szCs w:val="20"/>
        </w:rPr>
      </w:pPr>
      <w:r w:rsidRPr="00E5094B">
        <w:rPr>
          <w:rStyle w:val="FootnoteReference"/>
          <w:szCs w:val="20"/>
        </w:rPr>
        <w:footnoteRef/>
      </w:r>
      <w:r w:rsidRPr="00E5094B">
        <w:rPr>
          <w:szCs w:val="20"/>
        </w:rPr>
        <w:t xml:space="preserve"> See G. Noto La </w:t>
      </w:r>
      <w:proofErr w:type="spellStart"/>
      <w:r w:rsidRPr="00E5094B">
        <w:rPr>
          <w:szCs w:val="20"/>
        </w:rPr>
        <w:t>Diega</w:t>
      </w:r>
      <w:proofErr w:type="spellEnd"/>
      <w:r w:rsidRPr="00E5094B">
        <w:rPr>
          <w:szCs w:val="20"/>
        </w:rPr>
        <w:t xml:space="preserve">, </w:t>
      </w:r>
      <w:r w:rsidRPr="00C03174">
        <w:rPr>
          <w:i/>
          <w:szCs w:val="20"/>
        </w:rPr>
        <w:t>op. cit.</w:t>
      </w:r>
      <w:r w:rsidRPr="00E5094B">
        <w:rPr>
          <w:szCs w:val="20"/>
        </w:rPr>
        <w:t xml:space="preserve">, 118; M. </w:t>
      </w:r>
      <w:proofErr w:type="spellStart"/>
      <w:r w:rsidRPr="00E5094B">
        <w:rPr>
          <w:szCs w:val="20"/>
        </w:rPr>
        <w:t>Leistner</w:t>
      </w:r>
      <w:proofErr w:type="spellEnd"/>
      <w:r w:rsidRPr="00E5094B">
        <w:rPr>
          <w:szCs w:val="20"/>
        </w:rPr>
        <w:t xml:space="preserve">, </w:t>
      </w:r>
      <w:r w:rsidRPr="00C03174">
        <w:rPr>
          <w:i/>
          <w:szCs w:val="20"/>
        </w:rPr>
        <w:t>Big data and the EU Database Directive 96/9/EC: current law and potential reform</w:t>
      </w:r>
      <w:r w:rsidRPr="00E5094B">
        <w:rPr>
          <w:szCs w:val="20"/>
        </w:rPr>
        <w:t xml:space="preserve">, in S. </w:t>
      </w:r>
      <w:proofErr w:type="spellStart"/>
      <w:r w:rsidRPr="00E5094B">
        <w:rPr>
          <w:szCs w:val="20"/>
        </w:rPr>
        <w:t>Lohsse</w:t>
      </w:r>
      <w:proofErr w:type="spellEnd"/>
      <w:r w:rsidRPr="00E5094B">
        <w:rPr>
          <w:szCs w:val="20"/>
        </w:rPr>
        <w:t xml:space="preserve">, R. </w:t>
      </w:r>
      <w:proofErr w:type="spellStart"/>
      <w:r w:rsidRPr="00E5094B">
        <w:rPr>
          <w:szCs w:val="20"/>
        </w:rPr>
        <w:t>Shculze</w:t>
      </w:r>
      <w:proofErr w:type="spellEnd"/>
      <w:r w:rsidRPr="00E5094B">
        <w:rPr>
          <w:szCs w:val="20"/>
        </w:rPr>
        <w:t xml:space="preserve"> and D. </w:t>
      </w:r>
      <w:proofErr w:type="spellStart"/>
      <w:r w:rsidRPr="00E5094B">
        <w:rPr>
          <w:szCs w:val="20"/>
        </w:rPr>
        <w:t>Staudenmyer</w:t>
      </w:r>
      <w:proofErr w:type="spellEnd"/>
      <w:r w:rsidRPr="00E5094B">
        <w:rPr>
          <w:szCs w:val="20"/>
        </w:rPr>
        <w:t xml:space="preserve"> (eds.), </w:t>
      </w:r>
      <w:r w:rsidRPr="00C03174">
        <w:rPr>
          <w:i/>
          <w:szCs w:val="20"/>
        </w:rPr>
        <w:t>Trading data in the digital economy: legal concepts and tools</w:t>
      </w:r>
      <w:r w:rsidRPr="00E5094B">
        <w:rPr>
          <w:szCs w:val="20"/>
        </w:rPr>
        <w:t xml:space="preserve">, Nomos, Baden-Baden, 2017, also available at </w:t>
      </w:r>
      <w:hyperlink r:id="rId10" w:history="1">
        <w:r w:rsidRPr="00E5094B">
          <w:rPr>
            <w:rStyle w:val="Hyperlink"/>
            <w:szCs w:val="20"/>
          </w:rPr>
          <w:t>https://papers.ssrn.com/sol3/papers.cfm?abstract_id=3245937</w:t>
        </w:r>
      </w:hyperlink>
      <w:r w:rsidRPr="00E5094B">
        <w:rPr>
          <w:szCs w:val="20"/>
        </w:rPr>
        <w:t>, last access</w:t>
      </w:r>
      <w:r>
        <w:rPr>
          <w:szCs w:val="20"/>
        </w:rPr>
        <w:t>ed</w:t>
      </w:r>
      <w:r w:rsidRPr="00E5094B">
        <w:rPr>
          <w:szCs w:val="20"/>
        </w:rPr>
        <w:t xml:space="preserve"> 5 May 2020, 2.</w:t>
      </w:r>
    </w:p>
  </w:footnote>
  <w:footnote w:id="44">
    <w:p w14:paraId="59065CB7" w14:textId="54E7834C" w:rsidR="00491380" w:rsidRPr="00E5094B" w:rsidRDefault="00491380" w:rsidP="009B6433">
      <w:pPr>
        <w:pStyle w:val="Nota"/>
        <w:rPr>
          <w:szCs w:val="20"/>
        </w:rPr>
      </w:pPr>
      <w:r w:rsidRPr="00E5094B">
        <w:rPr>
          <w:rStyle w:val="FootnoteReference"/>
          <w:szCs w:val="20"/>
        </w:rPr>
        <w:footnoteRef/>
      </w:r>
      <w:r w:rsidRPr="00E5094B">
        <w:rPr>
          <w:szCs w:val="20"/>
        </w:rPr>
        <w:t xml:space="preserve"> European Court of Justice, October 29, 2015, case C-490/14, </w:t>
      </w:r>
      <w:proofErr w:type="spellStart"/>
      <w:r w:rsidRPr="00E5094B">
        <w:rPr>
          <w:szCs w:val="20"/>
        </w:rPr>
        <w:t>Freistaat</w:t>
      </w:r>
      <w:proofErr w:type="spellEnd"/>
      <w:r w:rsidRPr="00E5094B">
        <w:rPr>
          <w:szCs w:val="20"/>
        </w:rPr>
        <w:t xml:space="preserve"> Bayern v. Verlag </w:t>
      </w:r>
      <w:proofErr w:type="spellStart"/>
      <w:r w:rsidRPr="00E5094B">
        <w:rPr>
          <w:szCs w:val="20"/>
        </w:rPr>
        <w:t>Esterbauer</w:t>
      </w:r>
      <w:proofErr w:type="spellEnd"/>
      <w:r w:rsidRPr="00E5094B">
        <w:rPr>
          <w:szCs w:val="20"/>
        </w:rPr>
        <w:t xml:space="preserve"> </w:t>
      </w:r>
      <w:proofErr w:type="spellStart"/>
      <w:r w:rsidRPr="00E5094B">
        <w:rPr>
          <w:szCs w:val="20"/>
        </w:rPr>
        <w:t>Gmbh</w:t>
      </w:r>
      <w:proofErr w:type="spellEnd"/>
      <w:r w:rsidRPr="00E5094B">
        <w:rPr>
          <w:szCs w:val="20"/>
        </w:rPr>
        <w:t xml:space="preserve">, </w:t>
      </w:r>
      <w:r>
        <w:rPr>
          <w:szCs w:val="20"/>
        </w:rPr>
        <w:t>“</w:t>
      </w:r>
      <w:r w:rsidRPr="00E5094B">
        <w:rPr>
          <w:szCs w:val="20"/>
        </w:rPr>
        <w:t xml:space="preserve">Verlag </w:t>
      </w:r>
      <w:proofErr w:type="spellStart"/>
      <w:r w:rsidRPr="00E5094B">
        <w:rPr>
          <w:szCs w:val="20"/>
        </w:rPr>
        <w:t>Esterbauer</w:t>
      </w:r>
      <w:proofErr w:type="spellEnd"/>
      <w:r>
        <w:rPr>
          <w:szCs w:val="20"/>
        </w:rPr>
        <w:t xml:space="preserve"> case”</w:t>
      </w:r>
      <w:r w:rsidRPr="00E5094B">
        <w:rPr>
          <w:szCs w:val="20"/>
        </w:rPr>
        <w:t xml:space="preserve">. Furthermore, the same conclusion has been </w:t>
      </w:r>
      <w:r>
        <w:rPr>
          <w:szCs w:val="20"/>
        </w:rPr>
        <w:t>reached</w:t>
      </w:r>
      <w:r w:rsidRPr="00E5094B">
        <w:rPr>
          <w:szCs w:val="20"/>
        </w:rPr>
        <w:t xml:space="preserve"> by the German Supreme Court, see BGH, March 25, 2010, I ZR 47/08, </w:t>
      </w:r>
      <w:r>
        <w:rPr>
          <w:szCs w:val="20"/>
        </w:rPr>
        <w:t>“</w:t>
      </w:r>
      <w:proofErr w:type="spellStart"/>
      <w:r w:rsidRPr="00E5094B">
        <w:rPr>
          <w:szCs w:val="20"/>
        </w:rPr>
        <w:t>Autobahnmaut</w:t>
      </w:r>
      <w:proofErr w:type="spellEnd"/>
      <w:r>
        <w:rPr>
          <w:szCs w:val="20"/>
        </w:rPr>
        <w:t xml:space="preserve"> case” and the EWCA, February 6, 2013, Football </w:t>
      </w:r>
      <w:proofErr w:type="spellStart"/>
      <w:r>
        <w:rPr>
          <w:szCs w:val="20"/>
        </w:rPr>
        <w:t>Dataco</w:t>
      </w:r>
      <w:proofErr w:type="spellEnd"/>
      <w:r>
        <w:rPr>
          <w:szCs w:val="20"/>
        </w:rPr>
        <w:t xml:space="preserve"> Ltd v. Stan James Ltd (No 2). In the latter case, the Court considered live football data to be obtained. However, on another occasion, a German court reached the opposite conclusion, see G. Noto La </w:t>
      </w:r>
      <w:proofErr w:type="spellStart"/>
      <w:r>
        <w:rPr>
          <w:szCs w:val="20"/>
        </w:rPr>
        <w:t>Diega</w:t>
      </w:r>
      <w:proofErr w:type="spellEnd"/>
      <w:r>
        <w:rPr>
          <w:szCs w:val="20"/>
        </w:rPr>
        <w:t xml:space="preserve">, </w:t>
      </w:r>
      <w:r>
        <w:rPr>
          <w:i/>
          <w:szCs w:val="20"/>
        </w:rPr>
        <w:t>op. cit.</w:t>
      </w:r>
      <w:r>
        <w:rPr>
          <w:szCs w:val="20"/>
        </w:rPr>
        <w:t xml:space="preserve">, 118 fn. 191. </w:t>
      </w:r>
    </w:p>
  </w:footnote>
  <w:footnote w:id="45">
    <w:p w14:paraId="30039C60" w14:textId="3A924FCF" w:rsidR="00491380" w:rsidRPr="00E5094B" w:rsidRDefault="00491380" w:rsidP="009B6433">
      <w:pPr>
        <w:pStyle w:val="Nota"/>
        <w:rPr>
          <w:szCs w:val="20"/>
        </w:rPr>
      </w:pPr>
      <w:r w:rsidRPr="00E5094B">
        <w:rPr>
          <w:rStyle w:val="FootnoteReference"/>
          <w:szCs w:val="20"/>
        </w:rPr>
        <w:footnoteRef/>
      </w:r>
      <w:r w:rsidRPr="00E5094B">
        <w:rPr>
          <w:szCs w:val="20"/>
        </w:rPr>
        <w:t xml:space="preserve"> Fixtures-Svenska, 27; Fixtures-Oy, 37; Fixtures-OPAP, 43.</w:t>
      </w:r>
    </w:p>
  </w:footnote>
  <w:footnote w:id="46">
    <w:p w14:paraId="5857AF70" w14:textId="5ADC186C" w:rsidR="00491380" w:rsidRPr="00E5094B" w:rsidRDefault="00491380" w:rsidP="009B6433">
      <w:pPr>
        <w:pStyle w:val="Nota"/>
        <w:rPr>
          <w:szCs w:val="20"/>
        </w:rPr>
      </w:pPr>
      <w:r w:rsidRPr="00E5094B">
        <w:rPr>
          <w:rStyle w:val="FootnoteReference"/>
          <w:szCs w:val="20"/>
        </w:rPr>
        <w:footnoteRef/>
      </w:r>
      <w:r w:rsidRPr="00E5094B">
        <w:rPr>
          <w:szCs w:val="20"/>
        </w:rPr>
        <w:t xml:space="preserve"> Fixtures-Svenska, 27, Fixtures-Oy, 37, Fixtures-OPAP, 43.</w:t>
      </w:r>
    </w:p>
  </w:footnote>
  <w:footnote w:id="47">
    <w:p w14:paraId="2199C260" w14:textId="41D1C6DB" w:rsidR="00491380" w:rsidRPr="00E5094B" w:rsidRDefault="00491380" w:rsidP="009B6433">
      <w:pPr>
        <w:pStyle w:val="Nota"/>
        <w:rPr>
          <w:szCs w:val="20"/>
        </w:rPr>
      </w:pPr>
      <w:r w:rsidRPr="00E5094B">
        <w:rPr>
          <w:rStyle w:val="FootnoteReference"/>
          <w:szCs w:val="20"/>
        </w:rPr>
        <w:footnoteRef/>
      </w:r>
      <w:r w:rsidRPr="00E5094B">
        <w:rPr>
          <w:szCs w:val="20"/>
        </w:rPr>
        <w:t xml:space="preserve"> See, inter alia, E. </w:t>
      </w:r>
      <w:proofErr w:type="spellStart"/>
      <w:r w:rsidRPr="00E5094B">
        <w:rPr>
          <w:szCs w:val="20"/>
        </w:rPr>
        <w:t>Derclaye</w:t>
      </w:r>
      <w:proofErr w:type="spellEnd"/>
      <w:r w:rsidRPr="00E5094B">
        <w:rPr>
          <w:szCs w:val="20"/>
        </w:rPr>
        <w:t xml:space="preserve">, </w:t>
      </w:r>
      <w:proofErr w:type="gramStart"/>
      <w:r w:rsidRPr="00E5094B">
        <w:rPr>
          <w:i/>
          <w:szCs w:val="20"/>
        </w:rPr>
        <w:t>The</w:t>
      </w:r>
      <w:proofErr w:type="gramEnd"/>
      <w:r w:rsidRPr="00E5094B">
        <w:rPr>
          <w:i/>
          <w:szCs w:val="20"/>
        </w:rPr>
        <w:t xml:space="preserve"> legal protection of databases: a comparative analysis</w:t>
      </w:r>
      <w:r w:rsidRPr="00E5094B">
        <w:rPr>
          <w:szCs w:val="20"/>
        </w:rPr>
        <w:t xml:space="preserve">, </w:t>
      </w:r>
      <w:r w:rsidRPr="00E5094B">
        <w:rPr>
          <w:i/>
          <w:szCs w:val="20"/>
        </w:rPr>
        <w:t>cit.</w:t>
      </w:r>
      <w:r w:rsidRPr="00E5094B">
        <w:rPr>
          <w:szCs w:val="20"/>
        </w:rPr>
        <w:t xml:space="preserve">, 95. In particular, the </w:t>
      </w:r>
      <w:r>
        <w:rPr>
          <w:szCs w:val="20"/>
        </w:rPr>
        <w:t>a</w:t>
      </w:r>
      <w:r w:rsidRPr="00E5094B">
        <w:rPr>
          <w:szCs w:val="20"/>
        </w:rPr>
        <w:t>uthor highlight</w:t>
      </w:r>
      <w:r>
        <w:rPr>
          <w:szCs w:val="20"/>
        </w:rPr>
        <w:t>s</w:t>
      </w:r>
      <w:r w:rsidRPr="00E5094B">
        <w:rPr>
          <w:szCs w:val="20"/>
        </w:rPr>
        <w:t xml:space="preserve"> the impossibility </w:t>
      </w:r>
      <w:r>
        <w:rPr>
          <w:szCs w:val="20"/>
        </w:rPr>
        <w:t>of drawing</w:t>
      </w:r>
      <w:r w:rsidRPr="00E5094B">
        <w:rPr>
          <w:szCs w:val="20"/>
        </w:rPr>
        <w:t xml:space="preserve"> a line between investment in creation and in verification of content. It is easier to recognize such investment in presenting, especially when the data have been created in a disorganized fashion. However, in many cases, the created data are </w:t>
      </w:r>
      <w:r>
        <w:rPr>
          <w:szCs w:val="20"/>
        </w:rPr>
        <w:t>“</w:t>
      </w:r>
      <w:r w:rsidRPr="00E5094B">
        <w:rPr>
          <w:i/>
          <w:szCs w:val="20"/>
        </w:rPr>
        <w:t>somewhat organized</w:t>
      </w:r>
      <w:r>
        <w:rPr>
          <w:i/>
          <w:szCs w:val="20"/>
        </w:rPr>
        <w:t>”</w:t>
      </w:r>
      <w:r w:rsidRPr="00E5094B">
        <w:rPr>
          <w:szCs w:val="20"/>
        </w:rPr>
        <w:t>.</w:t>
      </w:r>
      <w:r w:rsidRPr="00E5094B">
        <w:rPr>
          <w:i/>
          <w:szCs w:val="20"/>
        </w:rPr>
        <w:t xml:space="preserve"> </w:t>
      </w:r>
    </w:p>
  </w:footnote>
  <w:footnote w:id="48">
    <w:p w14:paraId="3356F162" w14:textId="08CFD994" w:rsidR="00491380" w:rsidRPr="00E5094B" w:rsidRDefault="00491380" w:rsidP="009B6433">
      <w:pPr>
        <w:pStyle w:val="Nota"/>
        <w:rPr>
          <w:szCs w:val="20"/>
        </w:rPr>
      </w:pPr>
      <w:r w:rsidRPr="00E5094B">
        <w:rPr>
          <w:rStyle w:val="FootnoteReference"/>
          <w:szCs w:val="20"/>
        </w:rPr>
        <w:footnoteRef/>
      </w:r>
      <w:r w:rsidRPr="00E5094B">
        <w:rPr>
          <w:szCs w:val="20"/>
        </w:rPr>
        <w:t xml:space="preserve"> Recitals 7, 39 and 40 of Database Directive.</w:t>
      </w:r>
    </w:p>
  </w:footnote>
  <w:footnote w:id="49">
    <w:p w14:paraId="127C40F0" w14:textId="05DCDB34" w:rsidR="00491380" w:rsidRPr="00E5094B" w:rsidRDefault="00491380" w:rsidP="009B6433">
      <w:pPr>
        <w:pStyle w:val="Nota"/>
        <w:rPr>
          <w:szCs w:val="20"/>
        </w:rPr>
      </w:pPr>
      <w:r w:rsidRPr="00E5094B">
        <w:rPr>
          <w:rStyle w:val="FootnoteReference"/>
          <w:szCs w:val="20"/>
        </w:rPr>
        <w:footnoteRef/>
      </w:r>
      <w:r w:rsidRPr="00E5094B">
        <w:rPr>
          <w:szCs w:val="20"/>
        </w:rPr>
        <w:t xml:space="preserve"> E. </w:t>
      </w:r>
      <w:proofErr w:type="spellStart"/>
      <w:r w:rsidRPr="00E5094B">
        <w:rPr>
          <w:szCs w:val="20"/>
        </w:rPr>
        <w:t>Derclaye</w:t>
      </w:r>
      <w:proofErr w:type="spellEnd"/>
      <w:r w:rsidRPr="00E5094B">
        <w:rPr>
          <w:szCs w:val="20"/>
        </w:rPr>
        <w:t xml:space="preserve">, </w:t>
      </w:r>
      <w:proofErr w:type="gramStart"/>
      <w:r w:rsidRPr="00E5094B">
        <w:rPr>
          <w:i/>
          <w:szCs w:val="20"/>
        </w:rPr>
        <w:t>The</w:t>
      </w:r>
      <w:proofErr w:type="gramEnd"/>
      <w:r w:rsidRPr="00E5094B">
        <w:rPr>
          <w:i/>
          <w:szCs w:val="20"/>
        </w:rPr>
        <w:t xml:space="preserve"> legal protection of databases: a comparative analysis</w:t>
      </w:r>
      <w:r w:rsidRPr="00E5094B">
        <w:rPr>
          <w:szCs w:val="20"/>
        </w:rPr>
        <w:t xml:space="preserve">, </w:t>
      </w:r>
      <w:r w:rsidRPr="006F2378">
        <w:rPr>
          <w:i/>
          <w:szCs w:val="20"/>
        </w:rPr>
        <w:t>cit</w:t>
      </w:r>
      <w:r w:rsidRPr="00E5094B">
        <w:rPr>
          <w:szCs w:val="20"/>
        </w:rPr>
        <w:t xml:space="preserve">., 74 and the case law referred in footnote 192. In particular, the </w:t>
      </w:r>
      <w:r>
        <w:rPr>
          <w:szCs w:val="20"/>
        </w:rPr>
        <w:t>a</w:t>
      </w:r>
      <w:r w:rsidRPr="00E5094B">
        <w:rPr>
          <w:szCs w:val="20"/>
        </w:rPr>
        <w:t>uthor re</w:t>
      </w:r>
      <w:r>
        <w:rPr>
          <w:szCs w:val="20"/>
        </w:rPr>
        <w:t xml:space="preserve">fers to </w:t>
      </w:r>
      <w:r w:rsidRPr="00E5094B">
        <w:rPr>
          <w:szCs w:val="20"/>
        </w:rPr>
        <w:t xml:space="preserve">relational investment, </w:t>
      </w:r>
      <w:proofErr w:type="gramStart"/>
      <w:r w:rsidRPr="00E5094B">
        <w:rPr>
          <w:szCs w:val="20"/>
        </w:rPr>
        <w:t>i.e.</w:t>
      </w:r>
      <w:proofErr w:type="gramEnd"/>
      <w:r w:rsidRPr="00E5094B">
        <w:rPr>
          <w:szCs w:val="20"/>
        </w:rPr>
        <w:t xml:space="preserve"> the investment </w:t>
      </w:r>
      <w:r>
        <w:rPr>
          <w:szCs w:val="20"/>
        </w:rPr>
        <w:t xml:space="preserve">involved in maintaining </w:t>
      </w:r>
      <w:r w:rsidRPr="00E5094B">
        <w:rPr>
          <w:szCs w:val="20"/>
        </w:rPr>
        <w:t>the team building the database.</w:t>
      </w:r>
    </w:p>
  </w:footnote>
  <w:footnote w:id="50">
    <w:p w14:paraId="4F403341" w14:textId="12862CC1" w:rsidR="00491380" w:rsidRPr="00E5094B" w:rsidRDefault="00491380" w:rsidP="009B6433">
      <w:pPr>
        <w:pStyle w:val="Nota"/>
        <w:rPr>
          <w:szCs w:val="20"/>
        </w:rPr>
      </w:pPr>
      <w:r w:rsidRPr="00E5094B">
        <w:rPr>
          <w:rStyle w:val="FootnoteReference"/>
          <w:szCs w:val="20"/>
        </w:rPr>
        <w:footnoteRef/>
      </w:r>
      <w:r w:rsidRPr="00E5094B">
        <w:rPr>
          <w:szCs w:val="20"/>
        </w:rPr>
        <w:t xml:space="preserve"> </w:t>
      </w:r>
      <w:proofErr w:type="spellStart"/>
      <w:r w:rsidRPr="00E5094B">
        <w:rPr>
          <w:i/>
          <w:szCs w:val="20"/>
        </w:rPr>
        <w:t>Ivi</w:t>
      </w:r>
      <w:proofErr w:type="spellEnd"/>
      <w:r w:rsidRPr="00E5094B">
        <w:rPr>
          <w:szCs w:val="20"/>
        </w:rPr>
        <w:t>, 80, referring to the case</w:t>
      </w:r>
      <w:r>
        <w:rPr>
          <w:szCs w:val="20"/>
        </w:rPr>
        <w:t xml:space="preserve"> of</w:t>
      </w:r>
      <w:r w:rsidRPr="00E5094B">
        <w:rPr>
          <w:szCs w:val="20"/>
        </w:rPr>
        <w:t xml:space="preserve"> T. Com. Nanterre, May 16, 2000, PR Line v. </w:t>
      </w:r>
      <w:proofErr w:type="spellStart"/>
      <w:r w:rsidRPr="00E5094B">
        <w:rPr>
          <w:szCs w:val="20"/>
        </w:rPr>
        <w:t>Newsinvest</w:t>
      </w:r>
      <w:proofErr w:type="spellEnd"/>
      <w:r>
        <w:rPr>
          <w:szCs w:val="20"/>
        </w:rPr>
        <w:t xml:space="preserve">; and G. Noto La </w:t>
      </w:r>
      <w:proofErr w:type="spellStart"/>
      <w:r>
        <w:rPr>
          <w:szCs w:val="20"/>
        </w:rPr>
        <w:t>Diega</w:t>
      </w:r>
      <w:proofErr w:type="spellEnd"/>
      <w:r>
        <w:rPr>
          <w:szCs w:val="20"/>
        </w:rPr>
        <w:t xml:space="preserve">, </w:t>
      </w:r>
      <w:r>
        <w:rPr>
          <w:i/>
          <w:szCs w:val="20"/>
        </w:rPr>
        <w:t>op. cit</w:t>
      </w:r>
      <w:r>
        <w:rPr>
          <w:szCs w:val="20"/>
        </w:rPr>
        <w:t xml:space="preserve">., 120, fn. 212, referring to Court of Rome, December 10, 2009. </w:t>
      </w:r>
    </w:p>
  </w:footnote>
  <w:footnote w:id="51">
    <w:p w14:paraId="0CB8FD87" w14:textId="406F990B" w:rsidR="00491380" w:rsidRPr="00E5094B" w:rsidRDefault="00491380" w:rsidP="009B6433">
      <w:pPr>
        <w:pStyle w:val="Nota"/>
        <w:rPr>
          <w:szCs w:val="20"/>
        </w:rPr>
      </w:pPr>
      <w:r w:rsidRPr="00E5094B">
        <w:rPr>
          <w:rStyle w:val="FootnoteReference"/>
          <w:szCs w:val="20"/>
        </w:rPr>
        <w:footnoteRef/>
      </w:r>
      <w:r w:rsidRPr="00E5094B">
        <w:rPr>
          <w:szCs w:val="20"/>
        </w:rPr>
        <w:t xml:space="preserve"> </w:t>
      </w:r>
      <w:r>
        <w:rPr>
          <w:szCs w:val="20"/>
        </w:rPr>
        <w:t xml:space="preserve">E. </w:t>
      </w:r>
      <w:proofErr w:type="spellStart"/>
      <w:r>
        <w:rPr>
          <w:szCs w:val="20"/>
        </w:rPr>
        <w:t>Derclaye</w:t>
      </w:r>
      <w:proofErr w:type="spellEnd"/>
      <w:r>
        <w:rPr>
          <w:szCs w:val="20"/>
        </w:rPr>
        <w:t xml:space="preserve">, </w:t>
      </w:r>
      <w:r>
        <w:rPr>
          <w:i/>
          <w:szCs w:val="20"/>
        </w:rPr>
        <w:t xml:space="preserve">The legal protection of databases: a comparative </w:t>
      </w:r>
      <w:r w:rsidRPr="006F2378">
        <w:rPr>
          <w:szCs w:val="20"/>
        </w:rPr>
        <w:t>analysis</w:t>
      </w:r>
      <w:r>
        <w:rPr>
          <w:szCs w:val="20"/>
        </w:rPr>
        <w:t xml:space="preserve">, </w:t>
      </w:r>
      <w:r>
        <w:rPr>
          <w:i/>
          <w:szCs w:val="20"/>
        </w:rPr>
        <w:t>cit.</w:t>
      </w:r>
      <w:r>
        <w:rPr>
          <w:szCs w:val="20"/>
        </w:rPr>
        <w:t xml:space="preserve">, </w:t>
      </w:r>
      <w:proofErr w:type="gramStart"/>
      <w:r>
        <w:rPr>
          <w:szCs w:val="20"/>
        </w:rPr>
        <w:t xml:space="preserve">74 </w:t>
      </w:r>
      <w:r w:rsidRPr="00E5094B">
        <w:rPr>
          <w:szCs w:val="20"/>
        </w:rPr>
        <w:t>,</w:t>
      </w:r>
      <w:proofErr w:type="gramEnd"/>
      <w:r w:rsidRPr="00E5094B">
        <w:rPr>
          <w:szCs w:val="20"/>
        </w:rPr>
        <w:t xml:space="preserve"> referring to the case </w:t>
      </w:r>
      <w:r>
        <w:rPr>
          <w:szCs w:val="20"/>
        </w:rPr>
        <w:t xml:space="preserve">of </w:t>
      </w:r>
      <w:r w:rsidRPr="00E5094B">
        <w:rPr>
          <w:szCs w:val="20"/>
        </w:rPr>
        <w:t xml:space="preserve">TGI Paris, April 25, 2003, </w:t>
      </w:r>
      <w:proofErr w:type="spellStart"/>
      <w:r w:rsidRPr="00E5094B">
        <w:rPr>
          <w:szCs w:val="20"/>
        </w:rPr>
        <w:t>Sonacotra</w:t>
      </w:r>
      <w:proofErr w:type="spellEnd"/>
      <w:r w:rsidRPr="00E5094B">
        <w:rPr>
          <w:szCs w:val="20"/>
        </w:rPr>
        <w:t xml:space="preserve"> v. </w:t>
      </w:r>
      <w:proofErr w:type="spellStart"/>
      <w:r w:rsidRPr="00E5094B">
        <w:rPr>
          <w:szCs w:val="20"/>
        </w:rPr>
        <w:t>Syndicat</w:t>
      </w:r>
      <w:proofErr w:type="spellEnd"/>
      <w:r w:rsidRPr="00E5094B">
        <w:rPr>
          <w:szCs w:val="20"/>
        </w:rPr>
        <w:t xml:space="preserve"> Sud </w:t>
      </w:r>
      <w:proofErr w:type="spellStart"/>
      <w:r w:rsidRPr="00E5094B">
        <w:rPr>
          <w:szCs w:val="20"/>
        </w:rPr>
        <w:t>Sonacotra</w:t>
      </w:r>
      <w:proofErr w:type="spellEnd"/>
      <w:r w:rsidRPr="00E5094B">
        <w:rPr>
          <w:szCs w:val="20"/>
        </w:rPr>
        <w:t>.</w:t>
      </w:r>
    </w:p>
  </w:footnote>
  <w:footnote w:id="52">
    <w:p w14:paraId="387A92C0" w14:textId="1FF2D2D9" w:rsidR="00491380" w:rsidRPr="00E5094B" w:rsidRDefault="00491380" w:rsidP="009B6433">
      <w:pPr>
        <w:pStyle w:val="Nota"/>
        <w:rPr>
          <w:szCs w:val="20"/>
        </w:rPr>
      </w:pPr>
      <w:r w:rsidRPr="00E5094B">
        <w:rPr>
          <w:rStyle w:val="FootnoteReference"/>
          <w:szCs w:val="20"/>
        </w:rPr>
        <w:footnoteRef/>
      </w:r>
      <w:r w:rsidRPr="00E5094B">
        <w:rPr>
          <w:szCs w:val="20"/>
        </w:rPr>
        <w:t xml:space="preserve"> See</w:t>
      </w:r>
      <w:r>
        <w:rPr>
          <w:szCs w:val="20"/>
        </w:rPr>
        <w:t>,</w:t>
      </w:r>
      <w:r w:rsidRPr="00E5094B">
        <w:rPr>
          <w:szCs w:val="20"/>
        </w:rPr>
        <w:t xml:space="preserve"> inter alia</w:t>
      </w:r>
      <w:r>
        <w:rPr>
          <w:szCs w:val="20"/>
        </w:rPr>
        <w:t>,</w:t>
      </w:r>
      <w:r w:rsidRPr="00E5094B">
        <w:rPr>
          <w:szCs w:val="20"/>
        </w:rPr>
        <w:t xml:space="preserve"> G. </w:t>
      </w:r>
      <w:proofErr w:type="spellStart"/>
      <w:r w:rsidRPr="00E5094B">
        <w:rPr>
          <w:szCs w:val="20"/>
        </w:rPr>
        <w:t>Westkamp</w:t>
      </w:r>
      <w:proofErr w:type="spellEnd"/>
      <w:r w:rsidRPr="00E5094B">
        <w:rPr>
          <w:szCs w:val="20"/>
        </w:rPr>
        <w:t xml:space="preserve">, </w:t>
      </w:r>
      <w:r w:rsidRPr="00C03174">
        <w:rPr>
          <w:i/>
          <w:szCs w:val="20"/>
        </w:rPr>
        <w:t>Protecting databases under US and European law – methodical approaches to the protection of investments between unfair competition and intellectual property concepts</w:t>
      </w:r>
      <w:r w:rsidRPr="00E5094B">
        <w:rPr>
          <w:szCs w:val="20"/>
        </w:rPr>
        <w:t xml:space="preserve">, in </w:t>
      </w:r>
      <w:r w:rsidRPr="00C03174">
        <w:rPr>
          <w:i/>
          <w:szCs w:val="20"/>
        </w:rPr>
        <w:t xml:space="preserve">IIC </w:t>
      </w:r>
      <w:r w:rsidRPr="00E5094B">
        <w:rPr>
          <w:szCs w:val="20"/>
        </w:rPr>
        <w:t>2003, 782. According to th</w:t>
      </w:r>
      <w:r>
        <w:rPr>
          <w:szCs w:val="20"/>
        </w:rPr>
        <w:t>is a</w:t>
      </w:r>
      <w:r w:rsidRPr="00E5094B">
        <w:rPr>
          <w:szCs w:val="20"/>
        </w:rPr>
        <w:t xml:space="preserve">uthor, one of the main arguments in support of a high threshold is that it </w:t>
      </w:r>
      <w:r>
        <w:rPr>
          <w:szCs w:val="20"/>
        </w:rPr>
        <w:t>“</w:t>
      </w:r>
      <w:r w:rsidRPr="00E5094B">
        <w:rPr>
          <w:szCs w:val="20"/>
        </w:rPr>
        <w:t>would lessen the danger of information monopolies by creating a broader public domain</w:t>
      </w:r>
      <w:r>
        <w:rPr>
          <w:szCs w:val="20"/>
        </w:rPr>
        <w:t>”</w:t>
      </w:r>
      <w:r w:rsidRPr="00E5094B">
        <w:rPr>
          <w:szCs w:val="20"/>
        </w:rPr>
        <w:t xml:space="preserve">. However, as pointed out in E. </w:t>
      </w:r>
      <w:proofErr w:type="spellStart"/>
      <w:r w:rsidRPr="00E5094B">
        <w:rPr>
          <w:szCs w:val="20"/>
        </w:rPr>
        <w:t>Derclay</w:t>
      </w:r>
      <w:r>
        <w:rPr>
          <w:szCs w:val="20"/>
        </w:rPr>
        <w:t>e</w:t>
      </w:r>
      <w:proofErr w:type="spellEnd"/>
      <w:r w:rsidRPr="00E5094B">
        <w:rPr>
          <w:szCs w:val="20"/>
        </w:rPr>
        <w:t xml:space="preserve">, </w:t>
      </w:r>
      <w:proofErr w:type="gramStart"/>
      <w:r w:rsidRPr="00C03174">
        <w:rPr>
          <w:i/>
          <w:szCs w:val="20"/>
        </w:rPr>
        <w:t>The</w:t>
      </w:r>
      <w:proofErr w:type="gramEnd"/>
      <w:r w:rsidRPr="00C03174">
        <w:rPr>
          <w:i/>
          <w:szCs w:val="20"/>
        </w:rPr>
        <w:t xml:space="preserve"> legal protection of databases: a comparative analysis</w:t>
      </w:r>
      <w:r w:rsidRPr="00E5094B">
        <w:rPr>
          <w:szCs w:val="20"/>
        </w:rPr>
        <w:t xml:space="preserve">, </w:t>
      </w:r>
      <w:r w:rsidRPr="00C03174">
        <w:rPr>
          <w:i/>
          <w:szCs w:val="20"/>
        </w:rPr>
        <w:t>cit.</w:t>
      </w:r>
      <w:r w:rsidRPr="00E5094B">
        <w:rPr>
          <w:szCs w:val="20"/>
        </w:rPr>
        <w:t xml:space="preserve">, 87, making a database </w:t>
      </w:r>
      <w:r>
        <w:rPr>
          <w:szCs w:val="20"/>
        </w:rPr>
        <w:t>from</w:t>
      </w:r>
      <w:r w:rsidRPr="00E5094B">
        <w:rPr>
          <w:szCs w:val="20"/>
        </w:rPr>
        <w:t xml:space="preserve"> pre-existing elements does not create a monopoly because the</w:t>
      </w:r>
      <w:r>
        <w:rPr>
          <w:szCs w:val="20"/>
        </w:rPr>
        <w:t xml:space="preserve"> data</w:t>
      </w:r>
      <w:r w:rsidRPr="00E5094B">
        <w:rPr>
          <w:szCs w:val="20"/>
        </w:rPr>
        <w:t xml:space="preserve"> are still collectable.</w:t>
      </w:r>
    </w:p>
  </w:footnote>
  <w:footnote w:id="53">
    <w:p w14:paraId="77AD5646" w14:textId="6290ABC7" w:rsidR="00491380" w:rsidRPr="00305018" w:rsidRDefault="00491380">
      <w:pPr>
        <w:pStyle w:val="FootnoteText"/>
        <w:rPr>
          <w:rFonts w:ascii="Times New Roman" w:hAnsi="Times New Roman" w:cs="Times New Roman"/>
        </w:rPr>
      </w:pPr>
      <w:r w:rsidRPr="00E5094B">
        <w:rPr>
          <w:rStyle w:val="FootnoteReference"/>
          <w:rFonts w:ascii="Times New Roman" w:hAnsi="Times New Roman" w:cs="Times New Roman"/>
        </w:rPr>
        <w:footnoteRef/>
      </w:r>
      <w:r w:rsidRPr="00E5094B">
        <w:rPr>
          <w:rFonts w:ascii="Times New Roman" w:hAnsi="Times New Roman" w:cs="Times New Roman"/>
        </w:rPr>
        <w:t xml:space="preserve"> </w:t>
      </w:r>
      <w:r>
        <w:rPr>
          <w:rFonts w:ascii="Times New Roman" w:hAnsi="Times New Roman" w:cs="Times New Roman"/>
        </w:rPr>
        <w:t xml:space="preserve">E. </w:t>
      </w:r>
      <w:proofErr w:type="spellStart"/>
      <w:r>
        <w:rPr>
          <w:rFonts w:ascii="Times New Roman" w:hAnsi="Times New Roman" w:cs="Times New Roman"/>
        </w:rPr>
        <w:t>Derclaye</w:t>
      </w:r>
      <w:proofErr w:type="spellEnd"/>
      <w:r>
        <w:rPr>
          <w:rFonts w:ascii="Times New Roman" w:hAnsi="Times New Roman" w:cs="Times New Roman"/>
        </w:rPr>
        <w:t xml:space="preserve">, </w:t>
      </w:r>
      <w:r>
        <w:rPr>
          <w:rFonts w:ascii="Times New Roman" w:hAnsi="Times New Roman" w:cs="Times New Roman"/>
          <w:i/>
        </w:rPr>
        <w:t>The legal protection of databases: a comparative analysis</w:t>
      </w:r>
      <w:r>
        <w:rPr>
          <w:rFonts w:ascii="Times New Roman" w:hAnsi="Times New Roman" w:cs="Times New Roman"/>
        </w:rPr>
        <w:t xml:space="preserve">, </w:t>
      </w:r>
      <w:r>
        <w:rPr>
          <w:rFonts w:ascii="Times New Roman" w:hAnsi="Times New Roman" w:cs="Times New Roman"/>
          <w:i/>
        </w:rPr>
        <w:t>cit.</w:t>
      </w:r>
      <w:r>
        <w:rPr>
          <w:rFonts w:ascii="Times New Roman" w:hAnsi="Times New Roman" w:cs="Times New Roman"/>
        </w:rPr>
        <w:t>, 88</w:t>
      </w:r>
    </w:p>
  </w:footnote>
  <w:footnote w:id="54">
    <w:p w14:paraId="1171DE60" w14:textId="572FA666" w:rsidR="00491380" w:rsidRPr="00E5094B" w:rsidRDefault="00491380" w:rsidP="009B6433">
      <w:pPr>
        <w:pStyle w:val="Nota"/>
        <w:rPr>
          <w:szCs w:val="20"/>
        </w:rPr>
      </w:pPr>
      <w:r w:rsidRPr="00E5094B">
        <w:rPr>
          <w:rStyle w:val="FootnoteReference"/>
          <w:szCs w:val="20"/>
        </w:rPr>
        <w:footnoteRef/>
      </w:r>
      <w:r w:rsidRPr="00E5094B">
        <w:rPr>
          <w:szCs w:val="20"/>
        </w:rPr>
        <w:t xml:space="preserve"> This view is shared by many commentators. See for instance E. </w:t>
      </w:r>
      <w:proofErr w:type="spellStart"/>
      <w:r w:rsidRPr="00E5094B">
        <w:rPr>
          <w:szCs w:val="20"/>
        </w:rPr>
        <w:t>Derclay</w:t>
      </w:r>
      <w:proofErr w:type="spellEnd"/>
      <w:r w:rsidRPr="00E5094B">
        <w:rPr>
          <w:szCs w:val="20"/>
        </w:rPr>
        <w:t xml:space="preserve">, </w:t>
      </w:r>
      <w:r w:rsidRPr="00C03174">
        <w:rPr>
          <w:i/>
          <w:szCs w:val="20"/>
        </w:rPr>
        <w:t>The legal protection of databases: a comparative analysis</w:t>
      </w:r>
      <w:r w:rsidRPr="00E5094B">
        <w:rPr>
          <w:szCs w:val="20"/>
        </w:rPr>
        <w:t xml:space="preserve">, </w:t>
      </w:r>
      <w:r w:rsidRPr="00C03174">
        <w:rPr>
          <w:i/>
          <w:szCs w:val="20"/>
        </w:rPr>
        <w:t>cit.</w:t>
      </w:r>
      <w:r w:rsidRPr="00E5094B">
        <w:rPr>
          <w:szCs w:val="20"/>
        </w:rPr>
        <w:t>, 88</w:t>
      </w:r>
      <w:r>
        <w:rPr>
          <w:szCs w:val="20"/>
        </w:rPr>
        <w:t>;</w:t>
      </w:r>
      <w:r w:rsidRPr="00E5094B">
        <w:rPr>
          <w:szCs w:val="20"/>
        </w:rPr>
        <w:t xml:space="preserve"> and M. </w:t>
      </w:r>
      <w:proofErr w:type="spellStart"/>
      <w:r w:rsidRPr="00E5094B">
        <w:rPr>
          <w:szCs w:val="20"/>
        </w:rPr>
        <w:t>Leistner</w:t>
      </w:r>
      <w:proofErr w:type="spellEnd"/>
      <w:r w:rsidRPr="00E5094B">
        <w:rPr>
          <w:szCs w:val="20"/>
        </w:rPr>
        <w:t xml:space="preserve">, </w:t>
      </w:r>
      <w:r w:rsidRPr="00C03174">
        <w:rPr>
          <w:i/>
          <w:szCs w:val="20"/>
        </w:rPr>
        <w:t>Legal protection for the database maker: initial experience from a German point of view</w:t>
      </w:r>
      <w:r w:rsidRPr="00E5094B">
        <w:rPr>
          <w:szCs w:val="20"/>
        </w:rPr>
        <w:t xml:space="preserve">, in </w:t>
      </w:r>
      <w:r w:rsidRPr="00C03174">
        <w:rPr>
          <w:i/>
          <w:szCs w:val="20"/>
        </w:rPr>
        <w:t>IIC</w:t>
      </w:r>
      <w:r w:rsidRPr="00E5094B">
        <w:rPr>
          <w:szCs w:val="20"/>
        </w:rPr>
        <w:t xml:space="preserve"> 2002, 450. </w:t>
      </w:r>
      <w:r>
        <w:rPr>
          <w:szCs w:val="20"/>
        </w:rPr>
        <w:t>T</w:t>
      </w:r>
      <w:r w:rsidRPr="00E5094B">
        <w:rPr>
          <w:szCs w:val="20"/>
        </w:rPr>
        <w:t xml:space="preserve">hese arguments were </w:t>
      </w:r>
      <w:r>
        <w:rPr>
          <w:szCs w:val="20"/>
        </w:rPr>
        <w:t xml:space="preserve">also </w:t>
      </w:r>
      <w:r w:rsidRPr="00E5094B">
        <w:rPr>
          <w:szCs w:val="20"/>
        </w:rPr>
        <w:t xml:space="preserve">used by the Administrative Court of Rostock, see AC Rostock, February 20, 2001, </w:t>
      </w:r>
      <w:proofErr w:type="spellStart"/>
      <w:r w:rsidRPr="00E5094B">
        <w:rPr>
          <w:szCs w:val="20"/>
        </w:rPr>
        <w:t>Datenbankeigenschaft</w:t>
      </w:r>
      <w:proofErr w:type="spellEnd"/>
      <w:r w:rsidRPr="00E5094B">
        <w:rPr>
          <w:szCs w:val="20"/>
        </w:rPr>
        <w:t xml:space="preserve"> von </w:t>
      </w:r>
      <w:proofErr w:type="spellStart"/>
      <w:r w:rsidRPr="00E5094B">
        <w:rPr>
          <w:szCs w:val="20"/>
        </w:rPr>
        <w:t>Hyperlinksammlungen</w:t>
      </w:r>
      <w:proofErr w:type="spellEnd"/>
      <w:r w:rsidRPr="00E5094B">
        <w:rPr>
          <w:szCs w:val="20"/>
        </w:rPr>
        <w:t>. Finally, the Advocate General</w:t>
      </w:r>
      <w:r>
        <w:rPr>
          <w:szCs w:val="20"/>
        </w:rPr>
        <w:t>,</w:t>
      </w:r>
      <w:r w:rsidRPr="00E5094B">
        <w:rPr>
          <w:szCs w:val="20"/>
        </w:rPr>
        <w:t xml:space="preserve"> in three of her 2004 opinions</w:t>
      </w:r>
      <w:r>
        <w:rPr>
          <w:szCs w:val="20"/>
        </w:rPr>
        <w:t xml:space="preserve">, also expressed preference </w:t>
      </w:r>
      <w:r w:rsidRPr="00E5094B">
        <w:rPr>
          <w:szCs w:val="20"/>
        </w:rPr>
        <w:t>for a low threshold, holding, inter alia, that requiring a high investment would undermine the aim of the Directive, which is to incentivize investment in the field at issue. See Fixtures-Svenska (Opinion of A.G.), 39; Fixtures-Oy (Opinion of A.G.), 49; Fixtures-OPAP (Opinion of A.G.), 55.</w:t>
      </w:r>
    </w:p>
  </w:footnote>
  <w:footnote w:id="55">
    <w:p w14:paraId="162D8A43" w14:textId="19312ED3" w:rsidR="00491380" w:rsidRPr="00E5094B" w:rsidRDefault="00491380" w:rsidP="009B6433">
      <w:pPr>
        <w:pStyle w:val="Nota"/>
        <w:rPr>
          <w:szCs w:val="20"/>
        </w:rPr>
      </w:pPr>
      <w:r w:rsidRPr="00E5094B">
        <w:rPr>
          <w:rStyle w:val="FootnoteReference"/>
          <w:szCs w:val="20"/>
        </w:rPr>
        <w:footnoteRef/>
      </w:r>
      <w:r w:rsidRPr="00E5094B">
        <w:rPr>
          <w:szCs w:val="20"/>
        </w:rPr>
        <w:t xml:space="preserve"> See E. </w:t>
      </w:r>
      <w:proofErr w:type="spellStart"/>
      <w:r w:rsidRPr="00E5094B">
        <w:rPr>
          <w:szCs w:val="20"/>
        </w:rPr>
        <w:t>Derclaye</w:t>
      </w:r>
      <w:proofErr w:type="spellEnd"/>
      <w:r w:rsidRPr="00E5094B">
        <w:rPr>
          <w:szCs w:val="20"/>
        </w:rPr>
        <w:t xml:space="preserve">, </w:t>
      </w:r>
      <w:r w:rsidRPr="00E5094B">
        <w:rPr>
          <w:i/>
          <w:szCs w:val="20"/>
        </w:rPr>
        <w:t>The legal protection of databases: a comparative analysis</w:t>
      </w:r>
      <w:r w:rsidRPr="00E5094B">
        <w:rPr>
          <w:szCs w:val="20"/>
        </w:rPr>
        <w:t xml:space="preserve">, </w:t>
      </w:r>
      <w:r w:rsidRPr="00E5094B">
        <w:rPr>
          <w:i/>
          <w:szCs w:val="20"/>
        </w:rPr>
        <w:t>cit</w:t>
      </w:r>
      <w:r w:rsidRPr="00E5094B">
        <w:rPr>
          <w:szCs w:val="20"/>
        </w:rPr>
        <w:t xml:space="preserve">., 83 and 84. However, the Advocate General, even </w:t>
      </w:r>
      <w:r>
        <w:rPr>
          <w:szCs w:val="20"/>
        </w:rPr>
        <w:t>though</w:t>
      </w:r>
      <w:r w:rsidRPr="00E5094B">
        <w:rPr>
          <w:szCs w:val="20"/>
        </w:rPr>
        <w:t xml:space="preserve"> recognizing the need to </w:t>
      </w:r>
      <w:proofErr w:type="gramStart"/>
      <w:r w:rsidRPr="00E5094B">
        <w:rPr>
          <w:szCs w:val="20"/>
        </w:rPr>
        <w:t>assess  a</w:t>
      </w:r>
      <w:proofErr w:type="gramEnd"/>
      <w:r w:rsidRPr="00E5094B">
        <w:rPr>
          <w:szCs w:val="20"/>
        </w:rPr>
        <w:t xml:space="preserve"> </w:t>
      </w:r>
      <w:r w:rsidRPr="00E5094B">
        <w:rPr>
          <w:i/>
          <w:szCs w:val="20"/>
        </w:rPr>
        <w:t>de minimis</w:t>
      </w:r>
      <w:r>
        <w:rPr>
          <w:i/>
          <w:szCs w:val="20"/>
        </w:rPr>
        <w:t xml:space="preserve"> </w:t>
      </w:r>
      <w:r>
        <w:rPr>
          <w:szCs w:val="20"/>
        </w:rPr>
        <w:t>standard in</w:t>
      </w:r>
      <w:r w:rsidRPr="00E5094B">
        <w:rPr>
          <w:szCs w:val="20"/>
        </w:rPr>
        <w:t xml:space="preserve"> an absolute way, has clearly </w:t>
      </w:r>
      <w:proofErr w:type="spellStart"/>
      <w:r w:rsidRPr="00E5094B">
        <w:rPr>
          <w:szCs w:val="20"/>
        </w:rPr>
        <w:t>favo</w:t>
      </w:r>
      <w:r>
        <w:rPr>
          <w:szCs w:val="20"/>
        </w:rPr>
        <w:t>u</w:t>
      </w:r>
      <w:r w:rsidRPr="00E5094B">
        <w:rPr>
          <w:szCs w:val="20"/>
        </w:rPr>
        <w:t>red</w:t>
      </w:r>
      <w:proofErr w:type="spellEnd"/>
      <w:r w:rsidRPr="00E5094B">
        <w:rPr>
          <w:szCs w:val="20"/>
        </w:rPr>
        <w:t xml:space="preserve"> a relative approach, specifying that evaluation of the substantiality of </w:t>
      </w:r>
      <w:r>
        <w:rPr>
          <w:szCs w:val="20"/>
        </w:rPr>
        <w:t>an</w:t>
      </w:r>
      <w:r w:rsidRPr="00E5094B">
        <w:rPr>
          <w:szCs w:val="20"/>
        </w:rPr>
        <w:t xml:space="preserve"> investment should be carried out considering the scale, nature and contents of the database</w:t>
      </w:r>
      <w:r>
        <w:rPr>
          <w:szCs w:val="20"/>
        </w:rPr>
        <w:t>,</w:t>
      </w:r>
      <w:r w:rsidRPr="00E5094B">
        <w:rPr>
          <w:szCs w:val="20"/>
        </w:rPr>
        <w:t xml:space="preserve"> and the sector </w:t>
      </w:r>
      <w:r>
        <w:rPr>
          <w:szCs w:val="20"/>
        </w:rPr>
        <w:t>involved</w:t>
      </w:r>
      <w:r w:rsidRPr="00E5094B">
        <w:rPr>
          <w:szCs w:val="20"/>
        </w:rPr>
        <w:t>. See Fixtures-Svenska (Opinion of A.G.), 35, 38 and 39; Fixtures-Oy (Opinion of A.G.), 45, 48 and 49; Fixtures-OPAP (Opinion of A.G.), 51, 54 and 55.</w:t>
      </w:r>
    </w:p>
  </w:footnote>
  <w:footnote w:id="56">
    <w:p w14:paraId="48EA6554" w14:textId="0522158B" w:rsidR="00491380" w:rsidRPr="00E5094B" w:rsidRDefault="00491380" w:rsidP="009B6433">
      <w:pPr>
        <w:pStyle w:val="Nota"/>
        <w:rPr>
          <w:szCs w:val="20"/>
        </w:rPr>
      </w:pPr>
      <w:r w:rsidRPr="00E5094B">
        <w:rPr>
          <w:rStyle w:val="FootnoteReference"/>
          <w:szCs w:val="20"/>
        </w:rPr>
        <w:footnoteRef/>
      </w:r>
      <w:r w:rsidRPr="00E5094B">
        <w:rPr>
          <w:szCs w:val="20"/>
        </w:rPr>
        <w:t xml:space="preserve"> See Fixtures-Svenska, 28, Fixtures-Oy, 38 and Fixtures-OPAP, 43.</w:t>
      </w:r>
    </w:p>
  </w:footnote>
  <w:footnote w:id="57">
    <w:p w14:paraId="1D1D9E6A" w14:textId="63DFBF9A" w:rsidR="00491380" w:rsidRPr="00E5094B" w:rsidRDefault="00491380" w:rsidP="009B6433">
      <w:pPr>
        <w:pStyle w:val="Nota"/>
        <w:rPr>
          <w:szCs w:val="20"/>
        </w:rPr>
      </w:pPr>
      <w:r w:rsidRPr="00E5094B">
        <w:rPr>
          <w:rStyle w:val="FootnoteReference"/>
          <w:szCs w:val="20"/>
        </w:rPr>
        <w:footnoteRef/>
      </w:r>
      <w:r w:rsidRPr="00E5094B">
        <w:rPr>
          <w:szCs w:val="20"/>
        </w:rPr>
        <w:t xml:space="preserve"> E. </w:t>
      </w:r>
      <w:proofErr w:type="spellStart"/>
      <w:r w:rsidRPr="00E5094B">
        <w:rPr>
          <w:szCs w:val="20"/>
        </w:rPr>
        <w:t>Derclaye</w:t>
      </w:r>
      <w:proofErr w:type="spellEnd"/>
      <w:r w:rsidRPr="00E5094B">
        <w:rPr>
          <w:szCs w:val="20"/>
        </w:rPr>
        <w:t>, The legal protection of databases: a comparative analysis, cit., 91.</w:t>
      </w:r>
    </w:p>
  </w:footnote>
  <w:footnote w:id="58">
    <w:p w14:paraId="0CA98724" w14:textId="75F376C7" w:rsidR="00491380" w:rsidRPr="009A1CDC" w:rsidRDefault="00491380" w:rsidP="006F2378">
      <w:pPr>
        <w:pStyle w:val="Nota"/>
      </w:pPr>
      <w:r>
        <w:rPr>
          <w:rStyle w:val="FootnoteReference"/>
        </w:rPr>
        <w:footnoteRef/>
      </w:r>
      <w:r>
        <w:t xml:space="preserve"> </w:t>
      </w:r>
      <w:r w:rsidRPr="00E5094B">
        <w:rPr>
          <w:szCs w:val="20"/>
        </w:rPr>
        <w:t xml:space="preserve">European Court of Justice, January 15, 2015, case C-30/14, Ryanair Ltd v. PR Aviation BV, </w:t>
      </w:r>
      <w:r>
        <w:rPr>
          <w:szCs w:val="20"/>
        </w:rPr>
        <w:t>“</w:t>
      </w:r>
      <w:r w:rsidRPr="00E5094B">
        <w:rPr>
          <w:szCs w:val="20"/>
        </w:rPr>
        <w:t>Ryanair</w:t>
      </w:r>
      <w:r>
        <w:rPr>
          <w:szCs w:val="20"/>
        </w:rPr>
        <w:t xml:space="preserve"> case”.</w:t>
      </w:r>
    </w:p>
  </w:footnote>
  <w:footnote w:id="59">
    <w:p w14:paraId="7A8E2795" w14:textId="3A6D3AE2" w:rsidR="00491380" w:rsidRPr="00E5094B" w:rsidRDefault="00491380" w:rsidP="00345BB8">
      <w:pPr>
        <w:pStyle w:val="Nota"/>
        <w:rPr>
          <w:szCs w:val="20"/>
        </w:rPr>
      </w:pPr>
      <w:r w:rsidRPr="00E5094B">
        <w:rPr>
          <w:rStyle w:val="FootnoteReference"/>
          <w:szCs w:val="20"/>
        </w:rPr>
        <w:footnoteRef/>
      </w:r>
      <w:r w:rsidRPr="00E5094B">
        <w:rPr>
          <w:szCs w:val="20"/>
        </w:rPr>
        <w:t xml:space="preserve"> Ryanair, 39. The CJEU has justified this conclusion </w:t>
      </w:r>
      <w:r>
        <w:rPr>
          <w:szCs w:val="20"/>
        </w:rPr>
        <w:t xml:space="preserve">on the grounds that it is </w:t>
      </w:r>
      <w:r w:rsidRPr="00E5094B">
        <w:rPr>
          <w:szCs w:val="20"/>
        </w:rPr>
        <w:t>a literal and a systematic interpretation of the Directive. Indeed, the Cou</w:t>
      </w:r>
      <w:r>
        <w:rPr>
          <w:szCs w:val="20"/>
        </w:rPr>
        <w:t>rt relied on the fact that A</w:t>
      </w:r>
      <w:r w:rsidRPr="00E5094B">
        <w:rPr>
          <w:szCs w:val="20"/>
        </w:rPr>
        <w:t>rticle 8 of the Directive falls within the chapter on the sui generis right</w:t>
      </w:r>
      <w:r>
        <w:rPr>
          <w:szCs w:val="20"/>
        </w:rPr>
        <w:t>. See</w:t>
      </w:r>
      <w:r w:rsidRPr="00E5094B">
        <w:rPr>
          <w:szCs w:val="20"/>
        </w:rPr>
        <w:t xml:space="preserve"> M. </w:t>
      </w:r>
      <w:proofErr w:type="spellStart"/>
      <w:r w:rsidRPr="00E5094B">
        <w:rPr>
          <w:szCs w:val="20"/>
        </w:rPr>
        <w:t>Borghi</w:t>
      </w:r>
      <w:proofErr w:type="spellEnd"/>
      <w:r w:rsidRPr="00E5094B">
        <w:rPr>
          <w:szCs w:val="20"/>
        </w:rPr>
        <w:t xml:space="preserve"> and S. </w:t>
      </w:r>
      <w:proofErr w:type="spellStart"/>
      <w:r w:rsidRPr="00E5094B">
        <w:rPr>
          <w:szCs w:val="20"/>
        </w:rPr>
        <w:t>Karapapa</w:t>
      </w:r>
      <w:proofErr w:type="spellEnd"/>
      <w:r w:rsidRPr="00E5094B">
        <w:rPr>
          <w:szCs w:val="20"/>
        </w:rPr>
        <w:t xml:space="preserve">, </w:t>
      </w:r>
      <w:r w:rsidRPr="00E5094B">
        <w:rPr>
          <w:i/>
          <w:szCs w:val="20"/>
        </w:rPr>
        <w:t xml:space="preserve">Contractual restrictions on lawful use of information: sole-source databases protected by the back </w:t>
      </w:r>
      <w:proofErr w:type="gramStart"/>
      <w:r w:rsidRPr="00E5094B">
        <w:rPr>
          <w:i/>
          <w:szCs w:val="20"/>
        </w:rPr>
        <w:t>door?</w:t>
      </w:r>
      <w:r w:rsidRPr="00E5094B">
        <w:rPr>
          <w:szCs w:val="20"/>
        </w:rPr>
        <w:t>,</w:t>
      </w:r>
      <w:proofErr w:type="gramEnd"/>
      <w:r w:rsidRPr="00E5094B">
        <w:rPr>
          <w:szCs w:val="20"/>
        </w:rPr>
        <w:t xml:space="preserve"> in </w:t>
      </w:r>
      <w:r w:rsidRPr="00E5094B">
        <w:rPr>
          <w:i/>
          <w:szCs w:val="20"/>
        </w:rPr>
        <w:t>EIPR</w:t>
      </w:r>
      <w:r w:rsidRPr="00E5094B">
        <w:rPr>
          <w:szCs w:val="20"/>
        </w:rPr>
        <w:t xml:space="preserve"> 2015, also available at </w:t>
      </w:r>
      <w:hyperlink r:id="rId11" w:history="1">
        <w:r w:rsidRPr="00E5094B">
          <w:rPr>
            <w:rStyle w:val="Hyperlink"/>
            <w:szCs w:val="20"/>
          </w:rPr>
          <w:t>https://papers.ssrn.com/sol3/papers.cfm?abstract_id=2862248</w:t>
        </w:r>
      </w:hyperlink>
      <w:r w:rsidRPr="00E5094B">
        <w:rPr>
          <w:szCs w:val="20"/>
        </w:rPr>
        <w:t>, 4.</w:t>
      </w:r>
    </w:p>
    <w:p w14:paraId="3A917F42" w14:textId="0A33C97A" w:rsidR="00491380" w:rsidRPr="00E5094B" w:rsidRDefault="00491380" w:rsidP="00345BB8">
      <w:pPr>
        <w:pStyle w:val="Nota"/>
        <w:rPr>
          <w:szCs w:val="20"/>
        </w:rPr>
      </w:pPr>
      <w:r w:rsidRPr="00E5094B">
        <w:rPr>
          <w:szCs w:val="20"/>
        </w:rPr>
        <w:t xml:space="preserve">Moreover, as pointed out in Recital 40, the Directive is built on </w:t>
      </w:r>
      <w:r>
        <w:rPr>
          <w:szCs w:val="20"/>
        </w:rPr>
        <w:t>a</w:t>
      </w:r>
      <w:r w:rsidRPr="00E5094B">
        <w:rPr>
          <w:szCs w:val="20"/>
        </w:rPr>
        <w:t xml:space="preserve"> balance between the rights of the database</w:t>
      </w:r>
      <w:r>
        <w:rPr>
          <w:szCs w:val="20"/>
        </w:rPr>
        <w:t>-</w:t>
      </w:r>
      <w:r w:rsidRPr="00E5094B">
        <w:rPr>
          <w:szCs w:val="20"/>
        </w:rPr>
        <w:t xml:space="preserve">maker and </w:t>
      </w:r>
      <w:r>
        <w:rPr>
          <w:szCs w:val="20"/>
        </w:rPr>
        <w:t xml:space="preserve">those </w:t>
      </w:r>
      <w:r w:rsidRPr="00E5094B">
        <w:rPr>
          <w:szCs w:val="20"/>
        </w:rPr>
        <w:t xml:space="preserve">of lawful users. </w:t>
      </w:r>
      <w:r>
        <w:rPr>
          <w:szCs w:val="20"/>
        </w:rPr>
        <w:t>Consequently, i</w:t>
      </w:r>
      <w:r w:rsidRPr="00E5094B">
        <w:rPr>
          <w:szCs w:val="20"/>
        </w:rPr>
        <w:t xml:space="preserve">n the absence of </w:t>
      </w:r>
      <w:r>
        <w:rPr>
          <w:szCs w:val="20"/>
        </w:rPr>
        <w:t xml:space="preserve">any </w:t>
      </w:r>
      <w:r w:rsidRPr="00E5094B">
        <w:rPr>
          <w:szCs w:val="20"/>
        </w:rPr>
        <w:t>such right, the above-mentioned limitations do not apply.</w:t>
      </w:r>
    </w:p>
  </w:footnote>
  <w:footnote w:id="60">
    <w:p w14:paraId="7ACBD1D4" w14:textId="451C5D1D" w:rsidR="00491380" w:rsidRPr="00E5094B" w:rsidRDefault="00491380" w:rsidP="00345BB8">
      <w:pPr>
        <w:pStyle w:val="Nota"/>
        <w:rPr>
          <w:szCs w:val="20"/>
        </w:rPr>
      </w:pPr>
      <w:r w:rsidRPr="00E5094B">
        <w:rPr>
          <w:rStyle w:val="FootnoteReference"/>
          <w:szCs w:val="20"/>
        </w:rPr>
        <w:footnoteRef/>
      </w:r>
      <w:r w:rsidRPr="00E5094B">
        <w:rPr>
          <w:szCs w:val="20"/>
          <w:lang w:val="it-IT"/>
        </w:rPr>
        <w:t xml:space="preserve"> </w:t>
      </w:r>
      <w:r w:rsidRPr="00E5094B">
        <w:rPr>
          <w:szCs w:val="20"/>
          <w:lang w:val="it-IT"/>
        </w:rPr>
        <w:t xml:space="preserve">M. Borghi and S. Karapapa, </w:t>
      </w:r>
      <w:r w:rsidRPr="00E5094B">
        <w:rPr>
          <w:i/>
          <w:szCs w:val="20"/>
          <w:lang w:val="it-IT"/>
        </w:rPr>
        <w:t>op. cit.</w:t>
      </w:r>
      <w:r w:rsidRPr="00E5094B">
        <w:rPr>
          <w:szCs w:val="20"/>
          <w:lang w:val="it-IT"/>
        </w:rPr>
        <w:t xml:space="preserve">, 10-12. </w:t>
      </w:r>
      <w:r>
        <w:rPr>
          <w:szCs w:val="20"/>
        </w:rPr>
        <w:t>O</w:t>
      </w:r>
      <w:r w:rsidRPr="00E5094B">
        <w:rPr>
          <w:szCs w:val="20"/>
        </w:rPr>
        <w:t>ne of the strongest argument</w:t>
      </w:r>
      <w:r>
        <w:rPr>
          <w:szCs w:val="20"/>
        </w:rPr>
        <w:t>s</w:t>
      </w:r>
      <w:r w:rsidRPr="00E5094B">
        <w:rPr>
          <w:szCs w:val="20"/>
        </w:rPr>
        <w:t xml:space="preserve"> of </w:t>
      </w:r>
      <w:r>
        <w:rPr>
          <w:szCs w:val="20"/>
        </w:rPr>
        <w:t>the authors, according to whom A</w:t>
      </w:r>
      <w:r w:rsidRPr="00E5094B">
        <w:rPr>
          <w:szCs w:val="20"/>
        </w:rPr>
        <w:t>rticles 8 and 15 of the Database Directive should be applicable to all databases, is that these provisions continue to apply to databases even after the term of protection</w:t>
      </w:r>
      <w:r>
        <w:rPr>
          <w:szCs w:val="20"/>
        </w:rPr>
        <w:t xml:space="preserve"> has expired</w:t>
      </w:r>
      <w:r w:rsidRPr="00E5094B">
        <w:rPr>
          <w:szCs w:val="20"/>
        </w:rPr>
        <w:t xml:space="preserve">. </w:t>
      </w:r>
    </w:p>
  </w:footnote>
  <w:footnote w:id="61">
    <w:p w14:paraId="783D9D76" w14:textId="77777777" w:rsidR="00491380" w:rsidRPr="00E5094B" w:rsidRDefault="00491380" w:rsidP="00345BB8">
      <w:pPr>
        <w:pStyle w:val="FootnoteText"/>
        <w:jc w:val="both"/>
        <w:rPr>
          <w:rFonts w:ascii="Times New Roman" w:hAnsi="Times New Roman" w:cs="Times New Roman"/>
        </w:rPr>
      </w:pPr>
      <w:r w:rsidRPr="00E5094B">
        <w:rPr>
          <w:rStyle w:val="FootnoteReference"/>
          <w:rFonts w:ascii="Times New Roman" w:hAnsi="Times New Roman" w:cs="Times New Roman"/>
        </w:rPr>
        <w:footnoteRef/>
      </w:r>
      <w:r w:rsidRPr="00E5094B">
        <w:rPr>
          <w:rFonts w:ascii="Times New Roman" w:hAnsi="Times New Roman" w:cs="Times New Roman"/>
        </w:rPr>
        <w:t xml:space="preserve"> European Commission, </w:t>
      </w:r>
      <w:r w:rsidRPr="00E5094B">
        <w:rPr>
          <w:rFonts w:ascii="Times New Roman" w:hAnsi="Times New Roman" w:cs="Times New Roman"/>
          <w:i/>
        </w:rPr>
        <w:t>2018 Evaluation</w:t>
      </w:r>
      <w:r w:rsidRPr="00E5094B">
        <w:rPr>
          <w:rFonts w:ascii="Times New Roman" w:hAnsi="Times New Roman" w:cs="Times New Roman"/>
        </w:rPr>
        <w:t xml:space="preserve">, </w:t>
      </w:r>
      <w:r w:rsidRPr="00E5094B">
        <w:rPr>
          <w:rFonts w:ascii="Times New Roman" w:hAnsi="Times New Roman" w:cs="Times New Roman"/>
          <w:i/>
        </w:rPr>
        <w:t>cit.</w:t>
      </w:r>
      <w:r w:rsidRPr="00E5094B">
        <w:rPr>
          <w:rFonts w:ascii="Times New Roman" w:hAnsi="Times New Roman" w:cs="Times New Roman"/>
        </w:rPr>
        <w:t xml:space="preserve">, 32 and JIIP and Technopolis Group, </w:t>
      </w:r>
      <w:r w:rsidRPr="00E5094B">
        <w:rPr>
          <w:rFonts w:ascii="Times New Roman" w:hAnsi="Times New Roman" w:cs="Times New Roman"/>
          <w:i/>
        </w:rPr>
        <w:t>op. cit.</w:t>
      </w:r>
      <w:r w:rsidRPr="00E5094B">
        <w:rPr>
          <w:rFonts w:ascii="Times New Roman" w:hAnsi="Times New Roman" w:cs="Times New Roman"/>
        </w:rPr>
        <w:t>, 22.</w:t>
      </w:r>
    </w:p>
  </w:footnote>
  <w:footnote w:id="62">
    <w:p w14:paraId="44541FAA" w14:textId="6A25F93F" w:rsidR="00491380" w:rsidRPr="00E206E9" w:rsidRDefault="00491380" w:rsidP="006F2378">
      <w:pPr>
        <w:pStyle w:val="Nota"/>
      </w:pPr>
      <w:r>
        <w:rPr>
          <w:rStyle w:val="FootnoteReference"/>
        </w:rPr>
        <w:footnoteRef/>
      </w:r>
      <w:r>
        <w:t xml:space="preserve"> European Commission, </w:t>
      </w:r>
      <w:r>
        <w:rPr>
          <w:i/>
        </w:rPr>
        <w:t>2018 Evaluation</w:t>
      </w:r>
      <w:r>
        <w:t xml:space="preserve">, </w:t>
      </w:r>
      <w:r>
        <w:rPr>
          <w:i/>
        </w:rPr>
        <w:t>cit</w:t>
      </w:r>
      <w:r>
        <w:t xml:space="preserve">., 32 and JIIP and Technopolis Group, </w:t>
      </w:r>
      <w:r>
        <w:rPr>
          <w:i/>
        </w:rPr>
        <w:t>op. cit.</w:t>
      </w:r>
      <w:r>
        <w:t>, 22.</w:t>
      </w:r>
    </w:p>
  </w:footnote>
  <w:footnote w:id="63">
    <w:p w14:paraId="6ECEA3FC" w14:textId="74B74484" w:rsidR="00491380" w:rsidRPr="00E5094B" w:rsidRDefault="00491380" w:rsidP="00345BB8">
      <w:pPr>
        <w:pStyle w:val="Nota"/>
        <w:rPr>
          <w:szCs w:val="20"/>
        </w:rPr>
      </w:pPr>
      <w:r w:rsidRPr="00E5094B">
        <w:rPr>
          <w:rStyle w:val="FootnoteReference"/>
          <w:szCs w:val="20"/>
        </w:rPr>
        <w:footnoteRef/>
      </w:r>
      <w:r w:rsidRPr="00E5094B">
        <w:rPr>
          <w:szCs w:val="20"/>
        </w:rPr>
        <w:t xml:space="preserve"> European Commission, 2018 </w:t>
      </w:r>
      <w:r w:rsidRPr="00E5094B">
        <w:rPr>
          <w:i/>
          <w:szCs w:val="20"/>
        </w:rPr>
        <w:t>Evaluation</w:t>
      </w:r>
      <w:r w:rsidRPr="00E5094B">
        <w:rPr>
          <w:szCs w:val="20"/>
        </w:rPr>
        <w:t xml:space="preserve">, </w:t>
      </w:r>
      <w:r w:rsidRPr="00E5094B">
        <w:rPr>
          <w:i/>
          <w:szCs w:val="20"/>
        </w:rPr>
        <w:t>cit.</w:t>
      </w:r>
      <w:r w:rsidRPr="00E5094B">
        <w:rPr>
          <w:szCs w:val="20"/>
        </w:rPr>
        <w:t xml:space="preserve">, 32 and JIIP and Technopolis Group, </w:t>
      </w:r>
      <w:r w:rsidRPr="00E5094B">
        <w:rPr>
          <w:i/>
          <w:szCs w:val="20"/>
        </w:rPr>
        <w:t>op.</w:t>
      </w:r>
      <w:r w:rsidRPr="00E5094B">
        <w:rPr>
          <w:szCs w:val="20"/>
        </w:rPr>
        <w:t xml:space="preserve"> </w:t>
      </w:r>
      <w:r w:rsidRPr="00E5094B">
        <w:rPr>
          <w:i/>
          <w:szCs w:val="20"/>
        </w:rPr>
        <w:t>cit.</w:t>
      </w:r>
      <w:r w:rsidRPr="00E5094B">
        <w:rPr>
          <w:szCs w:val="20"/>
        </w:rPr>
        <w:t>, 22.</w:t>
      </w:r>
      <w:r w:rsidRPr="00E5094B">
        <w:rPr>
          <w:i/>
          <w:szCs w:val="20"/>
        </w:rPr>
        <w:t xml:space="preserve"> </w:t>
      </w:r>
      <w:r w:rsidRPr="00E5094B">
        <w:rPr>
          <w:szCs w:val="20"/>
        </w:rPr>
        <w:t xml:space="preserve">Indeed, in order to show that </w:t>
      </w:r>
      <w:r>
        <w:rPr>
          <w:szCs w:val="20"/>
        </w:rPr>
        <w:t xml:space="preserve">the </w:t>
      </w:r>
      <w:r w:rsidRPr="00E5094B">
        <w:rPr>
          <w:szCs w:val="20"/>
        </w:rPr>
        <w:t>Ryanair</w:t>
      </w:r>
      <w:r>
        <w:rPr>
          <w:szCs w:val="20"/>
        </w:rPr>
        <w:t>-</w:t>
      </w:r>
      <w:r w:rsidRPr="00E5094B">
        <w:rPr>
          <w:szCs w:val="20"/>
        </w:rPr>
        <w:t xml:space="preserve">related risks </w:t>
      </w:r>
      <w:r>
        <w:rPr>
          <w:szCs w:val="20"/>
        </w:rPr>
        <w:t>are</w:t>
      </w:r>
      <w:r w:rsidRPr="00E5094B">
        <w:rPr>
          <w:szCs w:val="20"/>
        </w:rPr>
        <w:t xml:space="preserve"> less real than they </w:t>
      </w:r>
      <w:r>
        <w:rPr>
          <w:szCs w:val="20"/>
        </w:rPr>
        <w:t>would appear</w:t>
      </w:r>
      <w:r w:rsidRPr="00E5094B">
        <w:rPr>
          <w:szCs w:val="20"/>
        </w:rPr>
        <w:t>, the European Commission re</w:t>
      </w:r>
      <w:r>
        <w:rPr>
          <w:szCs w:val="20"/>
        </w:rPr>
        <w:t xml:space="preserve">ferred to </w:t>
      </w:r>
      <w:r w:rsidRPr="00E5094B">
        <w:rPr>
          <w:szCs w:val="20"/>
        </w:rPr>
        <w:t xml:space="preserve">the ruling </w:t>
      </w:r>
      <w:proofErr w:type="spellStart"/>
      <w:r>
        <w:rPr>
          <w:szCs w:val="20"/>
        </w:rPr>
        <w:t>ha</w:t>
      </w:r>
      <w:r w:rsidR="00DD0719">
        <w:rPr>
          <w:szCs w:val="20"/>
        </w:rPr>
        <w:t>d</w:t>
      </w:r>
      <w:r>
        <w:rPr>
          <w:szCs w:val="20"/>
        </w:rPr>
        <w:t>ned</w:t>
      </w:r>
      <w:proofErr w:type="spellEnd"/>
      <w:r>
        <w:rPr>
          <w:szCs w:val="20"/>
        </w:rPr>
        <w:t xml:space="preserve"> down</w:t>
      </w:r>
      <w:r w:rsidRPr="00E5094B">
        <w:rPr>
          <w:szCs w:val="20"/>
        </w:rPr>
        <w:t xml:space="preserve"> by the Court of Appeal of Amsterdam, November 22, 2016, Pearson v. Bar Software, which </w:t>
      </w:r>
      <w:r>
        <w:rPr>
          <w:szCs w:val="20"/>
        </w:rPr>
        <w:t xml:space="preserve">stated that </w:t>
      </w:r>
      <w:r w:rsidRPr="00E5094B">
        <w:rPr>
          <w:szCs w:val="20"/>
        </w:rPr>
        <w:t>contractual provisions prohibiting the copying or duplication of any part of the databases without the right holder’s permission</w:t>
      </w:r>
      <w:r>
        <w:rPr>
          <w:szCs w:val="20"/>
        </w:rPr>
        <w:t xml:space="preserve"> were unenforceable</w:t>
      </w:r>
      <w:r w:rsidRPr="00E5094B">
        <w:rPr>
          <w:szCs w:val="20"/>
        </w:rPr>
        <w:t xml:space="preserve">. However, the reason behind </w:t>
      </w:r>
      <w:r>
        <w:rPr>
          <w:szCs w:val="20"/>
        </w:rPr>
        <w:t xml:space="preserve">this </w:t>
      </w:r>
      <w:r w:rsidRPr="00E5094B">
        <w:rPr>
          <w:szCs w:val="20"/>
        </w:rPr>
        <w:t xml:space="preserve">a decision </w:t>
      </w:r>
      <w:r>
        <w:rPr>
          <w:szCs w:val="20"/>
        </w:rPr>
        <w:t>is</w:t>
      </w:r>
      <w:r w:rsidRPr="00E5094B">
        <w:rPr>
          <w:szCs w:val="20"/>
        </w:rPr>
        <w:t xml:space="preserve"> to be found in the wording of the clause. </w:t>
      </w:r>
      <w:r>
        <w:rPr>
          <w:szCs w:val="20"/>
        </w:rPr>
        <w:t>A</w:t>
      </w:r>
      <w:r w:rsidRPr="00E5094B">
        <w:rPr>
          <w:szCs w:val="20"/>
        </w:rPr>
        <w:t xml:space="preserve"> different wording could easily avoid this outcome. See, L. </w:t>
      </w:r>
      <w:proofErr w:type="spellStart"/>
      <w:r w:rsidRPr="00E5094B">
        <w:rPr>
          <w:szCs w:val="20"/>
        </w:rPr>
        <w:t>Trapman</w:t>
      </w:r>
      <w:proofErr w:type="spellEnd"/>
      <w:r w:rsidRPr="00E5094B">
        <w:rPr>
          <w:szCs w:val="20"/>
        </w:rPr>
        <w:t xml:space="preserve">, </w:t>
      </w:r>
      <w:r w:rsidRPr="00E5094B">
        <w:rPr>
          <w:i/>
          <w:szCs w:val="20"/>
        </w:rPr>
        <w:t>Pearson v. Bar Software: on the use of unprotected databases</w:t>
      </w:r>
      <w:r w:rsidRPr="00E5094B">
        <w:rPr>
          <w:szCs w:val="20"/>
        </w:rPr>
        <w:t xml:space="preserve">, available at </w:t>
      </w:r>
      <w:hyperlink r:id="rId12" w:history="1">
        <w:r w:rsidRPr="00E5094B">
          <w:rPr>
            <w:rStyle w:val="Hyperlink"/>
            <w:szCs w:val="20"/>
          </w:rPr>
          <w:t>http://copyrightblog.kluweriplaw.com/2017/01/31/pearson-v-bar-software-use-unprotected-databases/</w:t>
        </w:r>
      </w:hyperlink>
      <w:r w:rsidRPr="00E5094B">
        <w:rPr>
          <w:szCs w:val="20"/>
        </w:rPr>
        <w:t>, last access</w:t>
      </w:r>
      <w:r>
        <w:rPr>
          <w:szCs w:val="20"/>
        </w:rPr>
        <w:t>ed</w:t>
      </w:r>
      <w:r w:rsidRPr="00E5094B">
        <w:rPr>
          <w:szCs w:val="20"/>
        </w:rPr>
        <w:t xml:space="preserve"> 9 May 2020. </w:t>
      </w:r>
    </w:p>
  </w:footnote>
  <w:footnote w:id="64">
    <w:p w14:paraId="3D79CFC4" w14:textId="3E302114" w:rsidR="00491380" w:rsidRPr="00E5094B" w:rsidRDefault="00491380" w:rsidP="009B6433">
      <w:pPr>
        <w:pStyle w:val="Nota"/>
        <w:rPr>
          <w:szCs w:val="20"/>
        </w:rPr>
      </w:pPr>
      <w:r w:rsidRPr="00E5094B">
        <w:rPr>
          <w:rStyle w:val="FootnoteReference"/>
          <w:szCs w:val="20"/>
        </w:rPr>
        <w:footnoteRef/>
      </w:r>
      <w:r w:rsidRPr="00E5094B">
        <w:rPr>
          <w:szCs w:val="20"/>
        </w:rPr>
        <w:t xml:space="preserve"> European Commission, </w:t>
      </w:r>
      <w:r w:rsidRPr="00E5094B">
        <w:rPr>
          <w:i/>
          <w:szCs w:val="20"/>
        </w:rPr>
        <w:t>Executive summary of the Evaluation of Directive 96/9/</w:t>
      </w:r>
      <w:r w:rsidRPr="00E5094B">
        <w:rPr>
          <w:szCs w:val="20"/>
        </w:rPr>
        <w:t xml:space="preserve">EC, </w:t>
      </w:r>
      <w:r w:rsidRPr="00E5094B">
        <w:rPr>
          <w:i/>
          <w:szCs w:val="20"/>
        </w:rPr>
        <w:t>cit.</w:t>
      </w:r>
      <w:r w:rsidRPr="00E5094B">
        <w:rPr>
          <w:szCs w:val="20"/>
        </w:rPr>
        <w:t>, 2. However,</w:t>
      </w:r>
      <w:r>
        <w:rPr>
          <w:szCs w:val="20"/>
        </w:rPr>
        <w:t xml:space="preserve"> </w:t>
      </w:r>
      <w:r w:rsidRPr="00E5094B">
        <w:rPr>
          <w:szCs w:val="20"/>
        </w:rPr>
        <w:t xml:space="preserve">European Commission, </w:t>
      </w:r>
      <w:r w:rsidRPr="00C03174">
        <w:rPr>
          <w:i/>
          <w:szCs w:val="20"/>
        </w:rPr>
        <w:t>Evaluation of the Directive 96/9/EC on the legal protection of databases</w:t>
      </w:r>
      <w:r w:rsidRPr="00E5094B">
        <w:rPr>
          <w:szCs w:val="20"/>
        </w:rPr>
        <w:t xml:space="preserve"> [</w:t>
      </w:r>
      <w:proofErr w:type="gramStart"/>
      <w:r w:rsidRPr="00E5094B">
        <w:rPr>
          <w:szCs w:val="20"/>
        </w:rPr>
        <w:t>SWD(</w:t>
      </w:r>
      <w:proofErr w:type="gramEnd"/>
      <w:r w:rsidRPr="00E5094B">
        <w:rPr>
          <w:szCs w:val="20"/>
        </w:rPr>
        <w:t>2018) 147 final], Brussels, 2018 (hereinafter “</w:t>
      </w:r>
      <w:r w:rsidRPr="00C03174">
        <w:rPr>
          <w:i/>
          <w:szCs w:val="20"/>
        </w:rPr>
        <w:t>2018 Evaluation</w:t>
      </w:r>
      <w:r>
        <w:rPr>
          <w:szCs w:val="20"/>
        </w:rPr>
        <w:t>”),</w:t>
      </w:r>
      <w:r w:rsidRPr="00E5094B">
        <w:rPr>
          <w:szCs w:val="20"/>
        </w:rPr>
        <w:t xml:space="preserve"> 15 seems – wrongly in our view – to </w:t>
      </w:r>
      <w:r>
        <w:rPr>
          <w:szCs w:val="20"/>
        </w:rPr>
        <w:t xml:space="preserve">ascribe </w:t>
      </w:r>
      <w:r w:rsidRPr="00E5094B">
        <w:rPr>
          <w:szCs w:val="20"/>
        </w:rPr>
        <w:t xml:space="preserve">this unfitness </w:t>
      </w:r>
      <w:r>
        <w:rPr>
          <w:szCs w:val="20"/>
        </w:rPr>
        <w:t>to</w:t>
      </w:r>
      <w:r w:rsidRPr="00E5094B">
        <w:rPr>
          <w:szCs w:val="20"/>
        </w:rPr>
        <w:t xml:space="preserve"> the absence of substantial investment, which in turn is deemed to derive from the </w:t>
      </w:r>
      <w:r w:rsidRPr="00E5094B">
        <w:rPr>
          <w:i/>
          <w:szCs w:val="20"/>
        </w:rPr>
        <w:t xml:space="preserve">spin-off </w:t>
      </w:r>
      <w:r w:rsidRPr="00E5094B">
        <w:rPr>
          <w:szCs w:val="20"/>
        </w:rPr>
        <w:t>theory.</w:t>
      </w:r>
    </w:p>
  </w:footnote>
  <w:footnote w:id="65">
    <w:p w14:paraId="2476E2E8" w14:textId="4A225A84" w:rsidR="00491380" w:rsidRPr="00E5094B" w:rsidRDefault="00491380" w:rsidP="009B6433">
      <w:pPr>
        <w:pStyle w:val="Nota"/>
        <w:rPr>
          <w:szCs w:val="20"/>
        </w:rPr>
      </w:pPr>
      <w:r w:rsidRPr="00E5094B">
        <w:rPr>
          <w:rStyle w:val="FootnoteReference"/>
          <w:szCs w:val="20"/>
        </w:rPr>
        <w:footnoteRef/>
      </w:r>
      <w:r w:rsidRPr="00E5094B">
        <w:rPr>
          <w:szCs w:val="20"/>
        </w:rPr>
        <w:t xml:space="preserve"> For the origins of this theory, which was developed in the Netherlands, and several case</w:t>
      </w:r>
      <w:r>
        <w:rPr>
          <w:szCs w:val="20"/>
        </w:rPr>
        <w:t>s</w:t>
      </w:r>
      <w:r w:rsidRPr="00E5094B">
        <w:rPr>
          <w:szCs w:val="20"/>
        </w:rPr>
        <w:t xml:space="preserve"> in which Dutch and other European courts have </w:t>
      </w:r>
      <w:r>
        <w:rPr>
          <w:szCs w:val="20"/>
        </w:rPr>
        <w:t>considered</w:t>
      </w:r>
      <w:r w:rsidRPr="00E5094B">
        <w:rPr>
          <w:szCs w:val="20"/>
        </w:rPr>
        <w:t xml:space="preserve"> it</w:t>
      </w:r>
      <w:r>
        <w:rPr>
          <w:szCs w:val="20"/>
        </w:rPr>
        <w:t>,</w:t>
      </w:r>
      <w:r w:rsidRPr="00E5094B">
        <w:rPr>
          <w:szCs w:val="20"/>
        </w:rPr>
        <w:t xml:space="preserve"> see P.B. </w:t>
      </w:r>
      <w:proofErr w:type="spellStart"/>
      <w:r w:rsidRPr="00E5094B">
        <w:rPr>
          <w:szCs w:val="20"/>
        </w:rPr>
        <w:t>Hugenholtz</w:t>
      </w:r>
      <w:proofErr w:type="spellEnd"/>
      <w:r w:rsidRPr="00E5094B">
        <w:rPr>
          <w:szCs w:val="20"/>
        </w:rPr>
        <w:t xml:space="preserve">, </w:t>
      </w:r>
      <w:r w:rsidRPr="00E5094B">
        <w:rPr>
          <w:i/>
          <w:szCs w:val="20"/>
        </w:rPr>
        <w:t>Program schedules, event data and telephone subscriber listings under the Database Directive: the spin-off doctrine in the Netherlands and elsewhere in Europe</w:t>
      </w:r>
      <w:r>
        <w:rPr>
          <w:szCs w:val="20"/>
        </w:rPr>
        <w:t>,</w:t>
      </w:r>
      <w:r w:rsidRPr="00E5094B">
        <w:rPr>
          <w:i/>
          <w:szCs w:val="20"/>
        </w:rPr>
        <w:t xml:space="preserve"> cit</w:t>
      </w:r>
      <w:r w:rsidRPr="00E5094B">
        <w:rPr>
          <w:szCs w:val="20"/>
        </w:rPr>
        <w:t>., 2 ff. and E</w:t>
      </w:r>
      <w:r>
        <w:rPr>
          <w:szCs w:val="20"/>
        </w:rPr>
        <w:t>.</w:t>
      </w:r>
      <w:r w:rsidRPr="00E5094B">
        <w:rPr>
          <w:szCs w:val="20"/>
        </w:rPr>
        <w:t xml:space="preserve"> </w:t>
      </w:r>
      <w:proofErr w:type="spellStart"/>
      <w:r w:rsidRPr="00E5094B">
        <w:rPr>
          <w:szCs w:val="20"/>
        </w:rPr>
        <w:t>Derclaye</w:t>
      </w:r>
      <w:proofErr w:type="spellEnd"/>
      <w:r w:rsidRPr="00E5094B">
        <w:rPr>
          <w:szCs w:val="20"/>
        </w:rPr>
        <w:t xml:space="preserve">, </w:t>
      </w:r>
      <w:r w:rsidRPr="00E5094B">
        <w:rPr>
          <w:i/>
          <w:szCs w:val="20"/>
        </w:rPr>
        <w:t xml:space="preserve">Database sui generis right: should we adopt the spin off </w:t>
      </w:r>
      <w:proofErr w:type="gramStart"/>
      <w:r w:rsidRPr="00E5094B">
        <w:rPr>
          <w:i/>
          <w:szCs w:val="20"/>
        </w:rPr>
        <w:t>theory?</w:t>
      </w:r>
      <w:r w:rsidRPr="00E5094B">
        <w:rPr>
          <w:szCs w:val="20"/>
        </w:rPr>
        <w:t>,</w:t>
      </w:r>
      <w:proofErr w:type="gramEnd"/>
      <w:r w:rsidRPr="00E5094B">
        <w:rPr>
          <w:szCs w:val="20"/>
        </w:rPr>
        <w:t xml:space="preserve"> </w:t>
      </w:r>
      <w:r w:rsidRPr="00E5094B">
        <w:rPr>
          <w:i/>
          <w:szCs w:val="20"/>
        </w:rPr>
        <w:t>cit.</w:t>
      </w:r>
      <w:r w:rsidRPr="00E5094B">
        <w:rPr>
          <w:szCs w:val="20"/>
        </w:rPr>
        <w:t xml:space="preserve">, 402-406.   </w:t>
      </w:r>
    </w:p>
  </w:footnote>
  <w:footnote w:id="66">
    <w:p w14:paraId="4343FA88" w14:textId="76842FBA" w:rsidR="00491380" w:rsidRPr="00E5094B" w:rsidRDefault="00491380" w:rsidP="009B6433">
      <w:pPr>
        <w:pStyle w:val="Nota"/>
        <w:rPr>
          <w:szCs w:val="20"/>
        </w:rPr>
      </w:pPr>
      <w:r w:rsidRPr="00E5094B">
        <w:rPr>
          <w:rStyle w:val="FootnoteReference"/>
          <w:szCs w:val="20"/>
        </w:rPr>
        <w:footnoteRef/>
      </w:r>
      <w:r w:rsidRPr="00E5094B">
        <w:rPr>
          <w:szCs w:val="20"/>
        </w:rPr>
        <w:t xml:space="preserve"> See, inter alia, A. </w:t>
      </w:r>
      <w:proofErr w:type="spellStart"/>
      <w:r w:rsidRPr="00E5094B">
        <w:rPr>
          <w:szCs w:val="20"/>
        </w:rPr>
        <w:t>Cogo</w:t>
      </w:r>
      <w:proofErr w:type="spellEnd"/>
      <w:r w:rsidRPr="00E5094B">
        <w:rPr>
          <w:szCs w:val="20"/>
        </w:rPr>
        <w:t xml:space="preserve">, </w:t>
      </w:r>
      <w:r w:rsidRPr="00C03174">
        <w:rPr>
          <w:i/>
          <w:szCs w:val="20"/>
        </w:rPr>
        <w:t>Fixtures-Oy – Comment to the judgement</w:t>
      </w:r>
      <w:r w:rsidRPr="00E5094B">
        <w:rPr>
          <w:szCs w:val="20"/>
        </w:rPr>
        <w:t xml:space="preserve">, in </w:t>
      </w:r>
      <w:r w:rsidRPr="00C03174">
        <w:rPr>
          <w:i/>
          <w:szCs w:val="20"/>
        </w:rPr>
        <w:t>AIDA</w:t>
      </w:r>
      <w:r w:rsidRPr="00E5094B">
        <w:rPr>
          <w:szCs w:val="20"/>
        </w:rPr>
        <w:t xml:space="preserve"> 2005, 416; </w:t>
      </w:r>
      <w:r w:rsidRPr="00B5789C">
        <w:rPr>
          <w:szCs w:val="20"/>
        </w:rPr>
        <w:t xml:space="preserve">M. </w:t>
      </w:r>
      <w:proofErr w:type="spellStart"/>
      <w:r w:rsidRPr="00B5789C">
        <w:rPr>
          <w:szCs w:val="20"/>
        </w:rPr>
        <w:t>Leistner</w:t>
      </w:r>
      <w:proofErr w:type="spellEnd"/>
      <w:r w:rsidRPr="00B5789C">
        <w:rPr>
          <w:szCs w:val="20"/>
        </w:rPr>
        <w:t xml:space="preserve">, </w:t>
      </w:r>
      <w:r w:rsidRPr="00B5789C">
        <w:rPr>
          <w:i/>
          <w:szCs w:val="20"/>
        </w:rPr>
        <w:t>Big data and the EU Database Directive 96/9/EC: current law and potential reform</w:t>
      </w:r>
      <w:r w:rsidRPr="00B5789C">
        <w:rPr>
          <w:szCs w:val="20"/>
        </w:rPr>
        <w:t xml:space="preserve">, </w:t>
      </w:r>
      <w:r w:rsidRPr="00B5789C">
        <w:rPr>
          <w:i/>
          <w:szCs w:val="20"/>
        </w:rPr>
        <w:t>cit.</w:t>
      </w:r>
      <w:r w:rsidRPr="00B5789C">
        <w:rPr>
          <w:szCs w:val="20"/>
        </w:rPr>
        <w:t>, 2, fn. 10</w:t>
      </w:r>
      <w:r w:rsidRPr="00E5094B">
        <w:rPr>
          <w:szCs w:val="20"/>
        </w:rPr>
        <w:t xml:space="preserve">; E. </w:t>
      </w:r>
      <w:proofErr w:type="spellStart"/>
      <w:r w:rsidRPr="00E5094B">
        <w:rPr>
          <w:szCs w:val="20"/>
        </w:rPr>
        <w:t>Derclaye</w:t>
      </w:r>
      <w:proofErr w:type="spellEnd"/>
      <w:r w:rsidRPr="00E5094B">
        <w:rPr>
          <w:szCs w:val="20"/>
        </w:rPr>
        <w:t xml:space="preserve">, </w:t>
      </w:r>
      <w:r w:rsidRPr="00C03174">
        <w:rPr>
          <w:i/>
          <w:szCs w:val="20"/>
        </w:rPr>
        <w:t>The legal protection of databases: a comparative analysis</w:t>
      </w:r>
      <w:r w:rsidRPr="00E5094B">
        <w:rPr>
          <w:szCs w:val="20"/>
        </w:rPr>
        <w:t xml:space="preserve">, </w:t>
      </w:r>
      <w:r w:rsidRPr="00C03174">
        <w:rPr>
          <w:i/>
          <w:szCs w:val="20"/>
        </w:rPr>
        <w:t>cit.</w:t>
      </w:r>
      <w:r w:rsidRPr="00E5094B">
        <w:rPr>
          <w:szCs w:val="20"/>
        </w:rPr>
        <w:t xml:space="preserve">, 94; J. </w:t>
      </w:r>
      <w:proofErr w:type="spellStart"/>
      <w:r w:rsidRPr="00E5094B">
        <w:rPr>
          <w:szCs w:val="20"/>
        </w:rPr>
        <w:t>Gaster</w:t>
      </w:r>
      <w:proofErr w:type="spellEnd"/>
      <w:r w:rsidRPr="00E5094B">
        <w:rPr>
          <w:szCs w:val="20"/>
        </w:rPr>
        <w:t xml:space="preserve">, </w:t>
      </w:r>
      <w:r w:rsidRPr="00C03174">
        <w:rPr>
          <w:i/>
          <w:szCs w:val="20"/>
        </w:rPr>
        <w:t>op. cit.</w:t>
      </w:r>
      <w:r w:rsidRPr="00E5094B">
        <w:rPr>
          <w:szCs w:val="20"/>
        </w:rPr>
        <w:t>, 133.</w:t>
      </w:r>
    </w:p>
  </w:footnote>
  <w:footnote w:id="67">
    <w:p w14:paraId="60BB8C1E" w14:textId="6BB17916" w:rsidR="00491380" w:rsidRPr="00E5094B" w:rsidRDefault="00491380" w:rsidP="009B6433">
      <w:pPr>
        <w:pStyle w:val="Nota"/>
        <w:rPr>
          <w:szCs w:val="20"/>
        </w:rPr>
      </w:pPr>
      <w:r w:rsidRPr="00E5094B">
        <w:rPr>
          <w:rStyle w:val="FootnoteReference"/>
          <w:szCs w:val="20"/>
        </w:rPr>
        <w:footnoteRef/>
      </w:r>
      <w:r w:rsidRPr="00E5094B">
        <w:rPr>
          <w:szCs w:val="20"/>
        </w:rPr>
        <w:t xml:space="preserve"> British Horseracing, 35, Fixtures-Svenska, 29, Fixtures-Oy, 39 and Fixtures-OPAP, 44.</w:t>
      </w:r>
    </w:p>
  </w:footnote>
  <w:footnote w:id="68">
    <w:p w14:paraId="4E7F6400" w14:textId="572AFDEB" w:rsidR="00491380" w:rsidRPr="00E5094B" w:rsidRDefault="00491380" w:rsidP="009B6433">
      <w:pPr>
        <w:pStyle w:val="Nota"/>
        <w:rPr>
          <w:szCs w:val="20"/>
        </w:rPr>
      </w:pPr>
      <w:r w:rsidRPr="00E5094B">
        <w:rPr>
          <w:rStyle w:val="FootnoteReference"/>
          <w:szCs w:val="20"/>
        </w:rPr>
        <w:footnoteRef/>
      </w:r>
      <w:r w:rsidRPr="00E5094B">
        <w:rPr>
          <w:szCs w:val="20"/>
        </w:rPr>
        <w:t xml:space="preserve"> This </w:t>
      </w:r>
      <w:r>
        <w:rPr>
          <w:szCs w:val="20"/>
        </w:rPr>
        <w:t xml:space="preserve">is not an unlikely </w:t>
      </w:r>
      <w:r w:rsidRPr="00E5094B">
        <w:rPr>
          <w:szCs w:val="20"/>
        </w:rPr>
        <w:t>hypothesis</w:t>
      </w:r>
      <w:r>
        <w:rPr>
          <w:szCs w:val="20"/>
        </w:rPr>
        <w:t xml:space="preserve">. Think, </w:t>
      </w:r>
      <w:r w:rsidRPr="00E5094B">
        <w:rPr>
          <w:szCs w:val="20"/>
        </w:rPr>
        <w:t>for instance</w:t>
      </w:r>
      <w:r>
        <w:rPr>
          <w:szCs w:val="20"/>
        </w:rPr>
        <w:t xml:space="preserve">, of </w:t>
      </w:r>
      <w:r w:rsidRPr="00E5094B">
        <w:rPr>
          <w:szCs w:val="20"/>
        </w:rPr>
        <w:t xml:space="preserve">services </w:t>
      </w:r>
      <w:r>
        <w:rPr>
          <w:szCs w:val="20"/>
        </w:rPr>
        <w:t xml:space="preserve">of the kind </w:t>
      </w:r>
      <w:r w:rsidRPr="00E5094B">
        <w:rPr>
          <w:szCs w:val="20"/>
        </w:rPr>
        <w:t xml:space="preserve">offered on </w:t>
      </w:r>
      <w:proofErr w:type="spellStart"/>
      <w:r w:rsidRPr="00E5094B">
        <w:rPr>
          <w:szCs w:val="20"/>
        </w:rPr>
        <w:t>Bdex</w:t>
      </w:r>
      <w:proofErr w:type="spellEnd"/>
      <w:r w:rsidRPr="00E5094B">
        <w:rPr>
          <w:szCs w:val="20"/>
        </w:rPr>
        <w:t xml:space="preserve"> (see </w:t>
      </w:r>
      <w:hyperlink r:id="rId13" w:history="1">
        <w:r w:rsidRPr="00E5094B">
          <w:rPr>
            <w:rStyle w:val="Hyperlink"/>
            <w:szCs w:val="20"/>
          </w:rPr>
          <w:t>https://www.bdex.com/</w:t>
        </w:r>
      </w:hyperlink>
      <w:r w:rsidRPr="00E5094B">
        <w:rPr>
          <w:szCs w:val="20"/>
        </w:rPr>
        <w:t xml:space="preserve">). </w:t>
      </w:r>
    </w:p>
  </w:footnote>
  <w:footnote w:id="69">
    <w:p w14:paraId="7C7FABB9" w14:textId="6B8A6490" w:rsidR="00491380" w:rsidRPr="00E5094B" w:rsidRDefault="00491380" w:rsidP="009B6433">
      <w:pPr>
        <w:pStyle w:val="Nota"/>
        <w:rPr>
          <w:szCs w:val="20"/>
        </w:rPr>
      </w:pPr>
      <w:r w:rsidRPr="00E5094B">
        <w:rPr>
          <w:rStyle w:val="FootnoteReference"/>
          <w:szCs w:val="20"/>
        </w:rPr>
        <w:footnoteRef/>
      </w:r>
      <w:r w:rsidRPr="00E5094B">
        <w:rPr>
          <w:szCs w:val="20"/>
        </w:rPr>
        <w:t xml:space="preserve"> Fixtures-Svenska, 33; Fixtures-Oy, 44; Fixtures-OPAP, 49.</w:t>
      </w:r>
    </w:p>
  </w:footnote>
  <w:footnote w:id="70">
    <w:p w14:paraId="7F0652B9" w14:textId="5FC0F4E9" w:rsidR="00491380" w:rsidRPr="00E5094B" w:rsidRDefault="00491380" w:rsidP="009B6433">
      <w:pPr>
        <w:pStyle w:val="Nota"/>
        <w:rPr>
          <w:szCs w:val="20"/>
        </w:rPr>
      </w:pPr>
      <w:r w:rsidRPr="00E5094B">
        <w:rPr>
          <w:rStyle w:val="FootnoteReference"/>
          <w:szCs w:val="20"/>
        </w:rPr>
        <w:footnoteRef/>
      </w:r>
      <w:r w:rsidRPr="00E5094B">
        <w:rPr>
          <w:szCs w:val="20"/>
        </w:rPr>
        <w:t xml:space="preserve"> E. </w:t>
      </w:r>
      <w:proofErr w:type="spellStart"/>
      <w:r w:rsidRPr="00E5094B">
        <w:rPr>
          <w:szCs w:val="20"/>
        </w:rPr>
        <w:t>Derclaye</w:t>
      </w:r>
      <w:proofErr w:type="spellEnd"/>
      <w:r w:rsidRPr="00E5094B">
        <w:rPr>
          <w:szCs w:val="20"/>
        </w:rPr>
        <w:t xml:space="preserve">, </w:t>
      </w:r>
      <w:r w:rsidRPr="00F759E2">
        <w:rPr>
          <w:i/>
          <w:szCs w:val="20"/>
        </w:rPr>
        <w:t>The legal protection of databases: a comparative analysis</w:t>
      </w:r>
      <w:r w:rsidRPr="00E5094B">
        <w:rPr>
          <w:szCs w:val="20"/>
        </w:rPr>
        <w:t xml:space="preserve">, </w:t>
      </w:r>
      <w:r w:rsidRPr="00F759E2">
        <w:rPr>
          <w:i/>
          <w:szCs w:val="20"/>
        </w:rPr>
        <w:t>cit.</w:t>
      </w:r>
      <w:r w:rsidRPr="00E5094B">
        <w:rPr>
          <w:szCs w:val="20"/>
        </w:rPr>
        <w:t>, 95.</w:t>
      </w:r>
    </w:p>
  </w:footnote>
  <w:footnote w:id="71">
    <w:p w14:paraId="1C7287C5" w14:textId="51E36290" w:rsidR="00491380" w:rsidRPr="00E5094B" w:rsidRDefault="00491380" w:rsidP="009B6433">
      <w:pPr>
        <w:pStyle w:val="Nota"/>
        <w:rPr>
          <w:szCs w:val="20"/>
          <w:lang w:val="it-IT"/>
        </w:rPr>
      </w:pPr>
      <w:r w:rsidRPr="00E5094B">
        <w:rPr>
          <w:rStyle w:val="FootnoteReference"/>
          <w:szCs w:val="20"/>
        </w:rPr>
        <w:footnoteRef/>
      </w:r>
      <w:r w:rsidRPr="00E5094B">
        <w:rPr>
          <w:szCs w:val="20"/>
          <w:lang w:val="it-IT"/>
        </w:rPr>
        <w:t xml:space="preserve"> </w:t>
      </w:r>
      <w:r w:rsidRPr="00F759E2">
        <w:rPr>
          <w:i/>
          <w:szCs w:val="20"/>
          <w:lang w:val="it-IT"/>
        </w:rPr>
        <w:t>Ibidem</w:t>
      </w:r>
      <w:r w:rsidRPr="00E5094B">
        <w:rPr>
          <w:szCs w:val="20"/>
          <w:lang w:val="it-IT"/>
        </w:rPr>
        <w:t>.</w:t>
      </w:r>
    </w:p>
  </w:footnote>
  <w:footnote w:id="72">
    <w:p w14:paraId="19DCBAB1" w14:textId="583A8F59" w:rsidR="00491380" w:rsidRPr="00E5094B" w:rsidRDefault="00491380" w:rsidP="009B6433">
      <w:pPr>
        <w:pStyle w:val="Nota"/>
        <w:rPr>
          <w:szCs w:val="20"/>
          <w:lang w:val="it-IT"/>
        </w:rPr>
      </w:pPr>
      <w:r w:rsidRPr="00E5094B">
        <w:rPr>
          <w:rStyle w:val="FootnoteReference"/>
          <w:szCs w:val="20"/>
        </w:rPr>
        <w:footnoteRef/>
      </w:r>
      <w:r w:rsidRPr="00E5094B">
        <w:rPr>
          <w:szCs w:val="20"/>
          <w:lang w:val="it-IT"/>
        </w:rPr>
        <w:t xml:space="preserve"> </w:t>
      </w:r>
      <w:r w:rsidRPr="00E5094B">
        <w:rPr>
          <w:szCs w:val="20"/>
          <w:lang w:val="it-IT"/>
        </w:rPr>
        <w:t xml:space="preserve">G. Noto La Diega, </w:t>
      </w:r>
      <w:r w:rsidRPr="00E5094B">
        <w:rPr>
          <w:i/>
          <w:szCs w:val="20"/>
          <w:lang w:val="it-IT"/>
        </w:rPr>
        <w:t>op. cit.</w:t>
      </w:r>
      <w:r w:rsidRPr="00E5094B">
        <w:rPr>
          <w:szCs w:val="20"/>
          <w:lang w:val="it-IT"/>
        </w:rPr>
        <w:t>, 119.</w:t>
      </w:r>
    </w:p>
  </w:footnote>
  <w:footnote w:id="73">
    <w:p w14:paraId="28A6633A" w14:textId="0C127759" w:rsidR="00491380" w:rsidRPr="00E5094B" w:rsidRDefault="00491380" w:rsidP="009B6433">
      <w:pPr>
        <w:pStyle w:val="Nota"/>
        <w:rPr>
          <w:szCs w:val="20"/>
        </w:rPr>
      </w:pPr>
      <w:r w:rsidRPr="00E5094B">
        <w:rPr>
          <w:rStyle w:val="FootnoteReference"/>
          <w:szCs w:val="20"/>
        </w:rPr>
        <w:footnoteRef/>
      </w:r>
      <w:r w:rsidRPr="006F2378">
        <w:rPr>
          <w:szCs w:val="20"/>
        </w:rPr>
        <w:t xml:space="preserve"> </w:t>
      </w:r>
      <w:proofErr w:type="spellStart"/>
      <w:r w:rsidRPr="006F2378">
        <w:rPr>
          <w:i/>
          <w:szCs w:val="20"/>
        </w:rPr>
        <w:t>Ivi</w:t>
      </w:r>
      <w:proofErr w:type="spellEnd"/>
      <w:r w:rsidRPr="006F2378">
        <w:rPr>
          <w:szCs w:val="20"/>
        </w:rPr>
        <w:t xml:space="preserve"> 118. </w:t>
      </w:r>
      <w:r w:rsidRPr="00E5094B">
        <w:rPr>
          <w:szCs w:val="20"/>
        </w:rPr>
        <w:t xml:space="preserve">I </w:t>
      </w:r>
    </w:p>
  </w:footnote>
  <w:footnote w:id="74">
    <w:p w14:paraId="3FC0AD4B" w14:textId="56CC59A7" w:rsidR="00491380" w:rsidRPr="00EF0E94" w:rsidRDefault="00491380" w:rsidP="006F2378">
      <w:pPr>
        <w:pStyle w:val="Nota"/>
      </w:pPr>
      <w:r>
        <w:rPr>
          <w:rStyle w:val="FootnoteReference"/>
        </w:rPr>
        <w:footnoteRef/>
      </w:r>
      <w:r>
        <w:t xml:space="preserve"> The process could be summarized in these four stages: </w:t>
      </w:r>
      <w:proofErr w:type="spellStart"/>
      <w:r>
        <w:t>i</w:t>
      </w:r>
      <w:proofErr w:type="spellEnd"/>
      <w:r>
        <w:t xml:space="preserve">) scraping and crawling in order to search the relevant contents and retrieve the information; ii) creation of a target dataset; iii) analysis; iv) presentation of the findings. See </w:t>
      </w:r>
      <w:proofErr w:type="spellStart"/>
      <w:r>
        <w:rPr>
          <w:i/>
        </w:rPr>
        <w:t>Ivi</w:t>
      </w:r>
      <w:proofErr w:type="spellEnd"/>
      <w:r>
        <w:t>, 129-130 and footnotes 285-288 for technical references.</w:t>
      </w:r>
    </w:p>
  </w:footnote>
  <w:footnote w:id="75">
    <w:p w14:paraId="159C5ED7" w14:textId="118D53E3" w:rsidR="00491380" w:rsidRPr="00094C0E" w:rsidRDefault="00491380" w:rsidP="006F2378">
      <w:pPr>
        <w:pStyle w:val="Nota"/>
      </w:pPr>
      <w:r>
        <w:rPr>
          <w:rStyle w:val="FootnoteReference"/>
        </w:rPr>
        <w:footnoteRef/>
      </w:r>
      <w:r>
        <w:t xml:space="preserve"> </w:t>
      </w:r>
      <w:r w:rsidRPr="00094C0E">
        <w:t>Directive (EU) 2019/790 of the European Parliament and of the Council of 17 April 2019 on copyright and related rights in the Digital Single Market and amending Directives 96/9/EC and 2001/29/EC, 2019, OJ L 130/92</w:t>
      </w:r>
      <w:r>
        <w:t xml:space="preserve"> (hereinafter “</w:t>
      </w:r>
      <w:r>
        <w:rPr>
          <w:i/>
        </w:rPr>
        <w:t>DSM Directive</w:t>
      </w:r>
      <w:r>
        <w:t>”), Article 2(2).</w:t>
      </w:r>
    </w:p>
  </w:footnote>
  <w:footnote w:id="76">
    <w:p w14:paraId="7101F3C6" w14:textId="25C50FD3" w:rsidR="00491380" w:rsidRPr="006F2378" w:rsidRDefault="00491380" w:rsidP="006F2378">
      <w:pPr>
        <w:pStyle w:val="Nota"/>
        <w:rPr>
          <w:lang w:val="it-IT"/>
        </w:rPr>
      </w:pPr>
      <w:r>
        <w:rPr>
          <w:rStyle w:val="FootnoteReference"/>
        </w:rPr>
        <w:footnoteRef/>
      </w:r>
      <w:r w:rsidRPr="006F2378">
        <w:rPr>
          <w:lang w:val="it-IT"/>
        </w:rPr>
        <w:t xml:space="preserve"> </w:t>
      </w:r>
      <w:r w:rsidRPr="006F2378">
        <w:rPr>
          <w:lang w:val="it-IT"/>
        </w:rPr>
        <w:t xml:space="preserve">G. Noto La Diega, </w:t>
      </w:r>
      <w:r w:rsidRPr="006F2378">
        <w:rPr>
          <w:i/>
          <w:lang w:val="it-IT"/>
        </w:rPr>
        <w:t>op. cit</w:t>
      </w:r>
      <w:r>
        <w:rPr>
          <w:i/>
          <w:lang w:val="it-IT"/>
        </w:rPr>
        <w:t>.</w:t>
      </w:r>
      <w:r>
        <w:rPr>
          <w:lang w:val="it-IT"/>
        </w:rPr>
        <w:t>, 124.</w:t>
      </w:r>
    </w:p>
  </w:footnote>
  <w:footnote w:id="77">
    <w:p w14:paraId="29232F1A" w14:textId="29DFE8E0" w:rsidR="00491380" w:rsidRPr="006F2378" w:rsidRDefault="00491380" w:rsidP="006F2378">
      <w:pPr>
        <w:pStyle w:val="Nota"/>
        <w:rPr>
          <w:lang w:val="it-IT"/>
        </w:rPr>
      </w:pPr>
      <w:r>
        <w:rPr>
          <w:rStyle w:val="FootnoteReference"/>
        </w:rPr>
        <w:footnoteRef/>
      </w:r>
      <w:r w:rsidRPr="006F2378">
        <w:rPr>
          <w:lang w:val="it-IT"/>
        </w:rPr>
        <w:t xml:space="preserve"> </w:t>
      </w:r>
      <w:r w:rsidRPr="006F2378">
        <w:rPr>
          <w:lang w:val="it-IT"/>
        </w:rPr>
        <w:t xml:space="preserve">A. </w:t>
      </w:r>
      <w:r w:rsidRPr="006F2378">
        <w:rPr>
          <w:lang w:val="it-IT"/>
        </w:rPr>
        <w:t xml:space="preserve">Ottolia, </w:t>
      </w:r>
      <w:r w:rsidRPr="006F2378">
        <w:rPr>
          <w:i/>
          <w:lang w:val="it-IT"/>
        </w:rPr>
        <w:t>op. cit.</w:t>
      </w:r>
      <w:r w:rsidRPr="006F2378">
        <w:rPr>
          <w:lang w:val="it-IT"/>
        </w:rPr>
        <w:t>, 75.</w:t>
      </w:r>
    </w:p>
  </w:footnote>
  <w:footnote w:id="78">
    <w:p w14:paraId="26C57C99" w14:textId="5C9D2523" w:rsidR="00491380" w:rsidRPr="006F2378" w:rsidRDefault="00491380" w:rsidP="009B6433">
      <w:pPr>
        <w:pStyle w:val="Nota"/>
        <w:rPr>
          <w:szCs w:val="20"/>
          <w:lang w:val="it-IT"/>
        </w:rPr>
      </w:pPr>
      <w:r w:rsidRPr="00E5094B">
        <w:rPr>
          <w:rStyle w:val="FootnoteReference"/>
          <w:szCs w:val="20"/>
        </w:rPr>
        <w:footnoteRef/>
      </w:r>
      <w:r w:rsidRPr="006F2378">
        <w:rPr>
          <w:szCs w:val="20"/>
          <w:lang w:val="it-IT"/>
        </w:rPr>
        <w:t xml:space="preserve"> </w:t>
      </w:r>
      <w:r w:rsidRPr="006F2378">
        <w:rPr>
          <w:i/>
          <w:szCs w:val="20"/>
          <w:lang w:val="it-IT"/>
        </w:rPr>
        <w:t>Ivi</w:t>
      </w:r>
      <w:r w:rsidRPr="006F2378">
        <w:rPr>
          <w:szCs w:val="20"/>
          <w:lang w:val="it-IT"/>
        </w:rPr>
        <w:t xml:space="preserve">, </w:t>
      </w:r>
      <w:r w:rsidRPr="006F2378">
        <w:rPr>
          <w:szCs w:val="20"/>
          <w:lang w:val="it-IT"/>
        </w:rPr>
        <w:t>121.</w:t>
      </w:r>
    </w:p>
  </w:footnote>
  <w:footnote w:id="79">
    <w:p w14:paraId="68596691" w14:textId="293B0B65" w:rsidR="00491380" w:rsidRPr="00E5094B" w:rsidRDefault="00491380" w:rsidP="009B6433">
      <w:pPr>
        <w:pStyle w:val="Nota"/>
        <w:rPr>
          <w:szCs w:val="20"/>
        </w:rPr>
      </w:pPr>
      <w:r w:rsidRPr="00E5094B">
        <w:rPr>
          <w:rStyle w:val="FootnoteReference"/>
          <w:szCs w:val="20"/>
        </w:rPr>
        <w:footnoteRef/>
      </w:r>
      <w:r w:rsidRPr="00E5094B">
        <w:rPr>
          <w:szCs w:val="20"/>
        </w:rPr>
        <w:t xml:space="preserve"> JIIP and Technopolis Group, </w:t>
      </w:r>
      <w:r w:rsidRPr="00E5094B">
        <w:rPr>
          <w:i/>
          <w:szCs w:val="20"/>
        </w:rPr>
        <w:t>op. cit.</w:t>
      </w:r>
      <w:r w:rsidRPr="00E5094B">
        <w:rPr>
          <w:szCs w:val="20"/>
        </w:rPr>
        <w:t>, 26.</w:t>
      </w:r>
    </w:p>
  </w:footnote>
  <w:footnote w:id="80">
    <w:p w14:paraId="2C1B48D7" w14:textId="3035A7C5" w:rsidR="00491380" w:rsidRPr="00E5094B" w:rsidRDefault="00491380" w:rsidP="009B6433">
      <w:pPr>
        <w:pStyle w:val="Nota"/>
        <w:rPr>
          <w:szCs w:val="20"/>
        </w:rPr>
      </w:pPr>
      <w:r w:rsidRPr="00E5094B">
        <w:rPr>
          <w:rStyle w:val="FootnoteReference"/>
          <w:szCs w:val="20"/>
        </w:rPr>
        <w:footnoteRef/>
      </w:r>
      <w:r w:rsidRPr="00E5094B">
        <w:rPr>
          <w:szCs w:val="20"/>
        </w:rPr>
        <w:t xml:space="preserve"> M.J. Davison and P.B. </w:t>
      </w:r>
      <w:proofErr w:type="spellStart"/>
      <w:r w:rsidRPr="00E5094B">
        <w:rPr>
          <w:szCs w:val="20"/>
        </w:rPr>
        <w:t>Hugenholtz</w:t>
      </w:r>
      <w:proofErr w:type="spellEnd"/>
      <w:r w:rsidRPr="00E5094B">
        <w:rPr>
          <w:szCs w:val="20"/>
        </w:rPr>
        <w:t xml:space="preserve">, </w:t>
      </w:r>
      <w:r w:rsidRPr="00E5094B">
        <w:rPr>
          <w:i/>
          <w:szCs w:val="20"/>
        </w:rPr>
        <w:t>op. cit.</w:t>
      </w:r>
      <w:r w:rsidRPr="00E5094B">
        <w:rPr>
          <w:szCs w:val="20"/>
        </w:rPr>
        <w:t>, 6.</w:t>
      </w:r>
    </w:p>
  </w:footnote>
  <w:footnote w:id="81">
    <w:p w14:paraId="1ED4CE75" w14:textId="03FE3D1E" w:rsidR="00491380" w:rsidRPr="00E5094B" w:rsidRDefault="00491380" w:rsidP="009B6433">
      <w:pPr>
        <w:pStyle w:val="Nota"/>
        <w:rPr>
          <w:szCs w:val="20"/>
        </w:rPr>
      </w:pPr>
      <w:r w:rsidRPr="00E5094B">
        <w:rPr>
          <w:rStyle w:val="FootnoteReference"/>
          <w:szCs w:val="20"/>
        </w:rPr>
        <w:footnoteRef/>
      </w:r>
      <w:r w:rsidRPr="00E5094B">
        <w:rPr>
          <w:szCs w:val="20"/>
        </w:rPr>
        <w:t xml:space="preserve"> JIIP and Technopolis Group, </w:t>
      </w:r>
      <w:r w:rsidRPr="00E5094B">
        <w:rPr>
          <w:i/>
          <w:szCs w:val="20"/>
        </w:rPr>
        <w:t>op. cit.</w:t>
      </w:r>
      <w:r w:rsidRPr="00E5094B">
        <w:rPr>
          <w:szCs w:val="20"/>
        </w:rPr>
        <w:t>, 26.</w:t>
      </w:r>
    </w:p>
  </w:footnote>
  <w:footnote w:id="82">
    <w:p w14:paraId="17E87D56" w14:textId="25555CA8" w:rsidR="00491380" w:rsidRPr="006F2378" w:rsidRDefault="00491380" w:rsidP="006F2378">
      <w:pPr>
        <w:pStyle w:val="Nota"/>
        <w:rPr>
          <w:lang w:val="it-IT"/>
        </w:rPr>
      </w:pPr>
      <w:r>
        <w:rPr>
          <w:rStyle w:val="FootnoteReference"/>
        </w:rPr>
        <w:footnoteRef/>
      </w:r>
      <w:r w:rsidRPr="006F2378">
        <w:rPr>
          <w:lang w:val="it-IT"/>
        </w:rPr>
        <w:t xml:space="preserve"> </w:t>
      </w:r>
      <w:r w:rsidRPr="006F2378">
        <w:rPr>
          <w:lang w:val="it-IT"/>
        </w:rPr>
        <w:t xml:space="preserve">G. Noto La Diega, </w:t>
      </w:r>
      <w:r w:rsidRPr="006F2378">
        <w:rPr>
          <w:i/>
          <w:lang w:val="it-IT"/>
        </w:rPr>
        <w:t xml:space="preserve">op. </w:t>
      </w:r>
      <w:r>
        <w:rPr>
          <w:i/>
          <w:lang w:val="it-IT"/>
        </w:rPr>
        <w:t>cit.</w:t>
      </w:r>
      <w:r>
        <w:rPr>
          <w:lang w:val="it-IT"/>
        </w:rPr>
        <w:t>, 118.</w:t>
      </w:r>
    </w:p>
  </w:footnote>
  <w:footnote w:id="83">
    <w:p w14:paraId="4F931DF1" w14:textId="02996A46" w:rsidR="00491380" w:rsidRPr="00166834" w:rsidRDefault="00491380" w:rsidP="006F2378">
      <w:pPr>
        <w:pStyle w:val="Nota"/>
      </w:pPr>
      <w:r>
        <w:rPr>
          <w:rStyle w:val="FootnoteReference"/>
        </w:rPr>
        <w:footnoteRef/>
      </w:r>
      <w:r>
        <w:t xml:space="preserve"> The use of ownership – or, as in the scenario considered by this paper, the extension of the scope of application of an existing right – as a technique for controlling and balancing situations in which there are imbalances in bargaining power is not new. See, for instance, J. </w:t>
      </w:r>
      <w:proofErr w:type="spellStart"/>
      <w:r>
        <w:t>Drexl</w:t>
      </w:r>
      <w:proofErr w:type="spellEnd"/>
      <w:r>
        <w:t xml:space="preserve">. </w:t>
      </w:r>
      <w:r>
        <w:rPr>
          <w:i/>
        </w:rPr>
        <w:t>op. cit.</w:t>
      </w:r>
      <w:r>
        <w:t xml:space="preserve">, 275. </w:t>
      </w:r>
    </w:p>
  </w:footnote>
  <w:footnote w:id="84">
    <w:p w14:paraId="7314685A" w14:textId="625258C9" w:rsidR="00491380" w:rsidRPr="00000D55" w:rsidRDefault="00491380" w:rsidP="006F2378">
      <w:pPr>
        <w:pStyle w:val="Nota"/>
      </w:pPr>
      <w:r>
        <w:rPr>
          <w:rStyle w:val="FootnoteReference"/>
        </w:rPr>
        <w:footnoteRef/>
      </w:r>
      <w:r>
        <w:t xml:space="preserve"> See, for a deeper analysis, J. </w:t>
      </w:r>
      <w:proofErr w:type="spellStart"/>
      <w:r>
        <w:t>Drexl</w:t>
      </w:r>
      <w:proofErr w:type="spellEnd"/>
      <w:r>
        <w:t xml:space="preserve">, </w:t>
      </w:r>
      <w:r>
        <w:rPr>
          <w:i/>
        </w:rPr>
        <w:t>op. cit</w:t>
      </w:r>
      <w:r>
        <w:t>.</w:t>
      </w:r>
      <w:r>
        <w:rPr>
          <w:i/>
        </w:rPr>
        <w:t xml:space="preserve"> </w:t>
      </w:r>
      <w:r>
        <w:t xml:space="preserve">and P.B. </w:t>
      </w:r>
      <w:proofErr w:type="spellStart"/>
      <w:r>
        <w:t>Hugenholtz</w:t>
      </w:r>
      <w:proofErr w:type="spellEnd"/>
      <w:r>
        <w:t xml:space="preserve">, </w:t>
      </w:r>
      <w:r>
        <w:rPr>
          <w:i/>
        </w:rPr>
        <w:t>Data property: unwelcomed guest in the house of IP</w:t>
      </w:r>
      <w:r>
        <w:t xml:space="preserve">, available at </w:t>
      </w:r>
      <w:hyperlink r:id="rId14" w:history="1">
        <w:r>
          <w:rPr>
            <w:rStyle w:val="Hyperlink"/>
          </w:rPr>
          <w:t>https://www.ivir.nl/publicaties/download/Data_property_Muenster.pdf</w:t>
        </w:r>
      </w:hyperlink>
      <w:r>
        <w:t>, last accessed 22 May 2020.</w:t>
      </w:r>
    </w:p>
  </w:footnote>
  <w:footnote w:id="85">
    <w:p w14:paraId="1FE1C202" w14:textId="0C24F129" w:rsidR="00491380" w:rsidRPr="006F2378" w:rsidRDefault="00491380" w:rsidP="009B6433">
      <w:pPr>
        <w:pStyle w:val="Nota"/>
        <w:rPr>
          <w:i/>
          <w:szCs w:val="20"/>
        </w:rPr>
      </w:pPr>
      <w:r w:rsidRPr="00E5094B">
        <w:rPr>
          <w:rStyle w:val="FootnoteReference"/>
          <w:szCs w:val="20"/>
        </w:rPr>
        <w:footnoteRef/>
      </w:r>
      <w:r w:rsidRPr="00E5094B">
        <w:rPr>
          <w:szCs w:val="20"/>
        </w:rPr>
        <w:t xml:space="preserve"> JIIP and Technopolis Group, </w:t>
      </w:r>
      <w:r w:rsidRPr="00E5094B">
        <w:rPr>
          <w:i/>
          <w:szCs w:val="20"/>
        </w:rPr>
        <w:t>op. cit.</w:t>
      </w:r>
      <w:r w:rsidRPr="00E5094B">
        <w:rPr>
          <w:szCs w:val="20"/>
        </w:rPr>
        <w:t xml:space="preserve">, 35 </w:t>
      </w:r>
      <w:r w:rsidRPr="006F2378">
        <w:rPr>
          <w:szCs w:val="20"/>
        </w:rPr>
        <w:t>ff.</w:t>
      </w:r>
      <w:r>
        <w:rPr>
          <w:szCs w:val="20"/>
        </w:rPr>
        <w:t xml:space="preserve">; and M. </w:t>
      </w:r>
      <w:proofErr w:type="spellStart"/>
      <w:r>
        <w:rPr>
          <w:szCs w:val="20"/>
        </w:rPr>
        <w:t>Leistner</w:t>
      </w:r>
      <w:proofErr w:type="spellEnd"/>
      <w:r>
        <w:rPr>
          <w:szCs w:val="20"/>
        </w:rPr>
        <w:t>,</w:t>
      </w:r>
      <w:r>
        <w:rPr>
          <w:i/>
          <w:szCs w:val="20"/>
        </w:rPr>
        <w:t xml:space="preserve"> Big data and the EU Database Directive 96/9/EC: current law and potential reform</w:t>
      </w:r>
      <w:r>
        <w:rPr>
          <w:szCs w:val="20"/>
        </w:rPr>
        <w:t xml:space="preserve">, </w:t>
      </w:r>
      <w:r>
        <w:rPr>
          <w:i/>
          <w:szCs w:val="20"/>
        </w:rPr>
        <w:t>cit.</w:t>
      </w:r>
      <w:r>
        <w:rPr>
          <w:szCs w:val="20"/>
        </w:rPr>
        <w:t xml:space="preserve">, 11. </w:t>
      </w:r>
    </w:p>
  </w:footnote>
  <w:footnote w:id="86">
    <w:p w14:paraId="6FBADE2E" w14:textId="65F0A6E1" w:rsidR="00491380" w:rsidRPr="0079372B" w:rsidRDefault="00491380" w:rsidP="006F2378">
      <w:pPr>
        <w:pStyle w:val="Nota"/>
      </w:pPr>
      <w:r>
        <w:rPr>
          <w:rStyle w:val="FootnoteReference"/>
        </w:rPr>
        <w:footnoteRef/>
      </w:r>
      <w:r>
        <w:t xml:space="preserve"> European Commission, </w:t>
      </w:r>
      <w:r>
        <w:rPr>
          <w:i/>
        </w:rPr>
        <w:t>Proposal for a Council Directive on the legal protection of databases</w:t>
      </w:r>
      <w:r>
        <w:t xml:space="preserve"> [</w:t>
      </w:r>
      <w:proofErr w:type="gramStart"/>
      <w:r>
        <w:t>COM(</w:t>
      </w:r>
      <w:proofErr w:type="gramEnd"/>
      <w:r>
        <w:t xml:space="preserve">1992) 24 final]. </w:t>
      </w:r>
    </w:p>
  </w:footnote>
  <w:footnote w:id="87">
    <w:p w14:paraId="38FA2702" w14:textId="528EA545" w:rsidR="00491380" w:rsidRPr="0079372B" w:rsidRDefault="00491380" w:rsidP="006F2378">
      <w:pPr>
        <w:pStyle w:val="Nota"/>
      </w:pPr>
      <w:r>
        <w:rPr>
          <w:rStyle w:val="FootnoteReference"/>
        </w:rPr>
        <w:footnoteRef/>
      </w:r>
      <w:r>
        <w:t xml:space="preserve"> </w:t>
      </w:r>
      <w:proofErr w:type="spellStart"/>
      <w:r>
        <w:rPr>
          <w:i/>
        </w:rPr>
        <w:t>Ivi</w:t>
      </w:r>
      <w:proofErr w:type="spellEnd"/>
      <w:r>
        <w:t>, Article 8.</w:t>
      </w:r>
    </w:p>
  </w:footnote>
  <w:footnote w:id="88">
    <w:p w14:paraId="0E96EBEE" w14:textId="48816878" w:rsidR="00491380" w:rsidRPr="00E149A4" w:rsidRDefault="00491380" w:rsidP="006F2378">
      <w:pPr>
        <w:pStyle w:val="Nota"/>
      </w:pPr>
      <w:r>
        <w:rPr>
          <w:rStyle w:val="FootnoteReference"/>
        </w:rPr>
        <w:footnoteRef/>
      </w:r>
      <w:r>
        <w:t xml:space="preserve"> See J. Ginsburg, </w:t>
      </w:r>
      <w:r>
        <w:rPr>
          <w:i/>
        </w:rPr>
        <w:t>Creation and commercial value: copyright protection of works of information</w:t>
      </w:r>
      <w:r>
        <w:t xml:space="preserve">, in </w:t>
      </w:r>
      <w:r>
        <w:rPr>
          <w:i/>
        </w:rPr>
        <w:t>Colum. L. Rev.</w:t>
      </w:r>
      <w:r>
        <w:t xml:space="preserve">, 1990, 1930. </w:t>
      </w:r>
    </w:p>
  </w:footnote>
  <w:footnote w:id="89">
    <w:p w14:paraId="7C6B7AD4" w14:textId="7FD8DB0B" w:rsidR="00491380" w:rsidRPr="00861C0D" w:rsidRDefault="00491380" w:rsidP="006F2378">
      <w:pPr>
        <w:pStyle w:val="Nota"/>
      </w:pPr>
      <w:r>
        <w:rPr>
          <w:rStyle w:val="FootnoteReference"/>
        </w:rPr>
        <w:footnoteRef/>
      </w:r>
      <w:r>
        <w:t xml:space="preserve"> JIIP and Technopolis Group, </w:t>
      </w:r>
      <w:r>
        <w:rPr>
          <w:i/>
        </w:rPr>
        <w:t>op. cit.</w:t>
      </w:r>
      <w:r>
        <w:t>, 42.</w:t>
      </w:r>
    </w:p>
  </w:footnote>
  <w:footnote w:id="90">
    <w:p w14:paraId="2C60E84B" w14:textId="71C8AB12" w:rsidR="00491380" w:rsidRPr="00E5094B" w:rsidRDefault="00491380" w:rsidP="009B6433">
      <w:pPr>
        <w:pStyle w:val="Nota"/>
        <w:rPr>
          <w:szCs w:val="20"/>
        </w:rPr>
      </w:pPr>
      <w:r w:rsidRPr="00E5094B">
        <w:rPr>
          <w:rStyle w:val="FootnoteReference"/>
          <w:szCs w:val="20"/>
        </w:rPr>
        <w:footnoteRef/>
      </w:r>
      <w:r w:rsidRPr="00F759E2">
        <w:rPr>
          <w:szCs w:val="20"/>
        </w:rPr>
        <w:t xml:space="preserve"> M. </w:t>
      </w:r>
      <w:proofErr w:type="spellStart"/>
      <w:r w:rsidRPr="001E322A">
        <w:rPr>
          <w:szCs w:val="20"/>
        </w:rPr>
        <w:t>Leistner</w:t>
      </w:r>
      <w:proofErr w:type="spellEnd"/>
      <w:r w:rsidRPr="006F2378">
        <w:rPr>
          <w:szCs w:val="20"/>
        </w:rPr>
        <w:t xml:space="preserve">, </w:t>
      </w:r>
      <w:r w:rsidRPr="006F2378">
        <w:rPr>
          <w:i/>
          <w:szCs w:val="20"/>
        </w:rPr>
        <w:t>Big data and the EU Database Directive 96/9/EC: current law and potential reform</w:t>
      </w:r>
      <w:r w:rsidRPr="006F2378">
        <w:rPr>
          <w:szCs w:val="20"/>
        </w:rPr>
        <w:t>,</w:t>
      </w:r>
      <w:r w:rsidRPr="006F2378">
        <w:rPr>
          <w:i/>
          <w:szCs w:val="20"/>
        </w:rPr>
        <w:t xml:space="preserve"> cit</w:t>
      </w:r>
      <w:r w:rsidRPr="001E322A">
        <w:rPr>
          <w:i/>
          <w:szCs w:val="20"/>
        </w:rPr>
        <w:t>.</w:t>
      </w:r>
      <w:r w:rsidRPr="001E322A">
        <w:rPr>
          <w:szCs w:val="20"/>
        </w:rPr>
        <w:t>,</w:t>
      </w:r>
      <w:r w:rsidRPr="00F759E2">
        <w:rPr>
          <w:szCs w:val="20"/>
        </w:rPr>
        <w:t xml:space="preserve"> 9. </w:t>
      </w:r>
      <w:r w:rsidRPr="00E5094B">
        <w:rPr>
          <w:szCs w:val="20"/>
        </w:rPr>
        <w:t xml:space="preserve">Furthermore, considering that this provision seems to mirror Article 7 of the Directive, granting </w:t>
      </w:r>
      <w:r>
        <w:rPr>
          <w:szCs w:val="20"/>
        </w:rPr>
        <w:t xml:space="preserve">an </w:t>
      </w:r>
      <w:r w:rsidRPr="00E5094B">
        <w:rPr>
          <w:szCs w:val="20"/>
        </w:rPr>
        <w:t xml:space="preserve">extension </w:t>
      </w:r>
      <w:r>
        <w:rPr>
          <w:szCs w:val="20"/>
        </w:rPr>
        <w:t xml:space="preserve">of this kind </w:t>
      </w:r>
      <w:r w:rsidRPr="00E5094B">
        <w:rPr>
          <w:szCs w:val="20"/>
        </w:rPr>
        <w:t xml:space="preserve">would </w:t>
      </w:r>
      <w:r>
        <w:rPr>
          <w:szCs w:val="20"/>
        </w:rPr>
        <w:t xml:space="preserve">differentiate </w:t>
      </w:r>
      <w:r w:rsidRPr="00E5094B">
        <w:rPr>
          <w:szCs w:val="20"/>
        </w:rPr>
        <w:t>between legitimate user</w:t>
      </w:r>
      <w:r>
        <w:rPr>
          <w:szCs w:val="20"/>
        </w:rPr>
        <w:t>s</w:t>
      </w:r>
      <w:r w:rsidRPr="00E5094B">
        <w:rPr>
          <w:szCs w:val="20"/>
        </w:rPr>
        <w:t xml:space="preserve"> and other</w:t>
      </w:r>
      <w:r>
        <w:rPr>
          <w:szCs w:val="20"/>
        </w:rPr>
        <w:t>s</w:t>
      </w:r>
      <w:r w:rsidRPr="00E5094B">
        <w:rPr>
          <w:szCs w:val="20"/>
        </w:rPr>
        <w:t>, who are able to extract insubstantial parts as well</w:t>
      </w:r>
      <w:r>
        <w:rPr>
          <w:szCs w:val="20"/>
        </w:rPr>
        <w:t>. S</w:t>
      </w:r>
      <w:r w:rsidRPr="00E5094B">
        <w:rPr>
          <w:szCs w:val="20"/>
        </w:rPr>
        <w:t xml:space="preserve">ee M. </w:t>
      </w:r>
      <w:proofErr w:type="spellStart"/>
      <w:r w:rsidRPr="00E5094B">
        <w:rPr>
          <w:szCs w:val="20"/>
        </w:rPr>
        <w:t>Borghi</w:t>
      </w:r>
      <w:proofErr w:type="spellEnd"/>
      <w:r w:rsidRPr="00E5094B">
        <w:rPr>
          <w:szCs w:val="20"/>
        </w:rPr>
        <w:t xml:space="preserve"> and S. </w:t>
      </w:r>
      <w:proofErr w:type="spellStart"/>
      <w:r w:rsidRPr="00E5094B">
        <w:rPr>
          <w:szCs w:val="20"/>
        </w:rPr>
        <w:t>Karapapa</w:t>
      </w:r>
      <w:proofErr w:type="spellEnd"/>
      <w:r w:rsidRPr="00E5094B">
        <w:rPr>
          <w:szCs w:val="20"/>
        </w:rPr>
        <w:t xml:space="preserve">, </w:t>
      </w:r>
      <w:r w:rsidRPr="00E5094B">
        <w:rPr>
          <w:i/>
          <w:szCs w:val="20"/>
        </w:rPr>
        <w:t>op. cit.</w:t>
      </w:r>
      <w:r w:rsidRPr="00E5094B">
        <w:rPr>
          <w:szCs w:val="20"/>
        </w:rPr>
        <w:t>, 9. This would be a further incentive for users to negotiate a license with the right holder.</w:t>
      </w:r>
    </w:p>
  </w:footnote>
  <w:footnote w:id="91">
    <w:p w14:paraId="4048538D" w14:textId="25B4D448" w:rsidR="00491380" w:rsidRPr="003D219C" w:rsidRDefault="00491380" w:rsidP="006F2378">
      <w:pPr>
        <w:pStyle w:val="Nota"/>
      </w:pPr>
      <w:r>
        <w:rPr>
          <w:rStyle w:val="FootnoteReference"/>
        </w:rPr>
        <w:footnoteRef/>
      </w:r>
      <w:r>
        <w:t xml:space="preserve"> </w:t>
      </w:r>
      <w:r w:rsidRPr="00F759E2">
        <w:rPr>
          <w:szCs w:val="20"/>
        </w:rPr>
        <w:t xml:space="preserve">M. </w:t>
      </w:r>
      <w:proofErr w:type="spellStart"/>
      <w:r w:rsidRPr="00F759E2">
        <w:rPr>
          <w:szCs w:val="20"/>
        </w:rPr>
        <w:t>Leistner</w:t>
      </w:r>
      <w:proofErr w:type="spellEnd"/>
      <w:r w:rsidRPr="006F2378">
        <w:rPr>
          <w:szCs w:val="20"/>
        </w:rPr>
        <w:t xml:space="preserve">, </w:t>
      </w:r>
      <w:r w:rsidRPr="006F2378">
        <w:rPr>
          <w:i/>
          <w:szCs w:val="20"/>
        </w:rPr>
        <w:t>Big data and the EU Database Directive 96/9/EC: current law and potential reform</w:t>
      </w:r>
      <w:r w:rsidRPr="006F2378">
        <w:rPr>
          <w:szCs w:val="20"/>
        </w:rPr>
        <w:t>,</w:t>
      </w:r>
      <w:r w:rsidRPr="006F2378">
        <w:rPr>
          <w:i/>
          <w:szCs w:val="20"/>
        </w:rPr>
        <w:t xml:space="preserve"> cit.</w:t>
      </w:r>
      <w:r w:rsidRPr="006F2378">
        <w:rPr>
          <w:szCs w:val="20"/>
        </w:rPr>
        <w:t>,</w:t>
      </w:r>
      <w:r w:rsidRPr="00F759E2">
        <w:rPr>
          <w:szCs w:val="20"/>
        </w:rPr>
        <w:t xml:space="preserve"> 13-14.</w:t>
      </w:r>
    </w:p>
  </w:footnote>
  <w:footnote w:id="92">
    <w:p w14:paraId="7465D283" w14:textId="1F45A86D" w:rsidR="00491380" w:rsidRPr="00E5094B" w:rsidRDefault="00491380" w:rsidP="009B6433">
      <w:pPr>
        <w:pStyle w:val="Nota"/>
        <w:rPr>
          <w:szCs w:val="20"/>
        </w:rPr>
      </w:pPr>
      <w:r w:rsidRPr="00E5094B">
        <w:rPr>
          <w:rStyle w:val="FootnoteReference"/>
          <w:szCs w:val="20"/>
        </w:rPr>
        <w:footnoteRef/>
      </w:r>
      <w:r w:rsidRPr="00E5094B">
        <w:rPr>
          <w:szCs w:val="20"/>
        </w:rPr>
        <w:t xml:space="preserve"> Directive 2001/29/EC of the European Parliament and of the Council of 22 May 2001 on the harmonization of certain aspects of copyright and related rights in the information society, 2001, OJ L 167/10</w:t>
      </w:r>
    </w:p>
  </w:footnote>
  <w:footnote w:id="93">
    <w:p w14:paraId="65E1356B" w14:textId="455A316D" w:rsidR="00491380" w:rsidRPr="00492682" w:rsidRDefault="00491380" w:rsidP="006F2378">
      <w:pPr>
        <w:pStyle w:val="Nota"/>
      </w:pPr>
      <w:r>
        <w:rPr>
          <w:rStyle w:val="FootnoteReference"/>
        </w:rPr>
        <w:footnoteRef/>
      </w:r>
      <w:r>
        <w:t xml:space="preserve"> </w:t>
      </w:r>
      <w:r>
        <w:rPr>
          <w:szCs w:val="20"/>
        </w:rPr>
        <w:t xml:space="preserve">M. </w:t>
      </w:r>
      <w:proofErr w:type="spellStart"/>
      <w:r>
        <w:rPr>
          <w:szCs w:val="20"/>
        </w:rPr>
        <w:t>Leistner</w:t>
      </w:r>
      <w:proofErr w:type="spellEnd"/>
      <w:r>
        <w:rPr>
          <w:szCs w:val="20"/>
        </w:rPr>
        <w:t>,</w:t>
      </w:r>
      <w:r>
        <w:rPr>
          <w:i/>
          <w:szCs w:val="20"/>
        </w:rPr>
        <w:t xml:space="preserve"> Big data and the EU Database Directive 96/9/EC: current law and potential reform</w:t>
      </w:r>
      <w:r>
        <w:rPr>
          <w:szCs w:val="20"/>
        </w:rPr>
        <w:t xml:space="preserve">, </w:t>
      </w:r>
      <w:r>
        <w:rPr>
          <w:i/>
          <w:szCs w:val="20"/>
        </w:rPr>
        <w:t>cit.</w:t>
      </w:r>
      <w:r>
        <w:rPr>
          <w:szCs w:val="20"/>
        </w:rPr>
        <w:t>, 13.</w:t>
      </w:r>
    </w:p>
  </w:footnote>
  <w:footnote w:id="94">
    <w:p w14:paraId="4726D616" w14:textId="56D063E2" w:rsidR="00491380" w:rsidRPr="006F2378" w:rsidRDefault="00491380" w:rsidP="006F2378">
      <w:pPr>
        <w:pStyle w:val="Nota"/>
        <w:rPr>
          <w:lang w:val="it-IT"/>
        </w:rPr>
      </w:pPr>
      <w:r w:rsidRPr="00B5789C">
        <w:rPr>
          <w:rStyle w:val="FootnoteReference"/>
        </w:rPr>
        <w:footnoteRef/>
      </w:r>
      <w:r w:rsidRPr="006F2378">
        <w:rPr>
          <w:lang w:val="it-IT"/>
        </w:rPr>
        <w:t xml:space="preserve"> </w:t>
      </w:r>
      <w:r w:rsidRPr="006F2378">
        <w:rPr>
          <w:lang w:val="it-IT"/>
        </w:rPr>
        <w:t xml:space="preserve">G. Noto La Diega, </w:t>
      </w:r>
      <w:r w:rsidRPr="006F2378">
        <w:rPr>
          <w:i/>
          <w:lang w:val="it-IT"/>
        </w:rPr>
        <w:t xml:space="preserve">op. </w:t>
      </w:r>
      <w:r w:rsidRPr="00B5789C">
        <w:rPr>
          <w:i/>
          <w:lang w:val="it-IT"/>
        </w:rPr>
        <w:t>cit.</w:t>
      </w:r>
      <w:r w:rsidRPr="00B5789C">
        <w:rPr>
          <w:lang w:val="it-IT"/>
        </w:rPr>
        <w:t>, 95.</w:t>
      </w:r>
      <w:r>
        <w:rPr>
          <w:lang w:val="it-I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7227"/>
    <w:multiLevelType w:val="hybridMultilevel"/>
    <w:tmpl w:val="43ACB3EA"/>
    <w:lvl w:ilvl="0" w:tplc="65F85416">
      <w:start w:val="38"/>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0ACE"/>
    <w:multiLevelType w:val="hybridMultilevel"/>
    <w:tmpl w:val="85BAACB0"/>
    <w:lvl w:ilvl="0" w:tplc="541AD71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52A2"/>
    <w:multiLevelType w:val="hybridMultilevel"/>
    <w:tmpl w:val="2B0AA6A8"/>
    <w:lvl w:ilvl="0" w:tplc="CB52B22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E51E6"/>
    <w:multiLevelType w:val="hybridMultilevel"/>
    <w:tmpl w:val="5B26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72142"/>
    <w:multiLevelType w:val="hybridMultilevel"/>
    <w:tmpl w:val="7B84E96A"/>
    <w:lvl w:ilvl="0" w:tplc="66E82D1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94D7A"/>
    <w:multiLevelType w:val="hybridMultilevel"/>
    <w:tmpl w:val="64C0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37972"/>
    <w:multiLevelType w:val="hybridMultilevel"/>
    <w:tmpl w:val="D8D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277E3"/>
    <w:multiLevelType w:val="hybridMultilevel"/>
    <w:tmpl w:val="230E4E0C"/>
    <w:lvl w:ilvl="0" w:tplc="EFBEF1F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04"/>
    <w:rsid w:val="00000D55"/>
    <w:rsid w:val="000010DE"/>
    <w:rsid w:val="00002F53"/>
    <w:rsid w:val="000101BE"/>
    <w:rsid w:val="0001054E"/>
    <w:rsid w:val="00011B3D"/>
    <w:rsid w:val="0002660F"/>
    <w:rsid w:val="00026FD5"/>
    <w:rsid w:val="0003017E"/>
    <w:rsid w:val="00030FD8"/>
    <w:rsid w:val="00035729"/>
    <w:rsid w:val="000379A3"/>
    <w:rsid w:val="00050382"/>
    <w:rsid w:val="00053086"/>
    <w:rsid w:val="0005521C"/>
    <w:rsid w:val="000571EF"/>
    <w:rsid w:val="000604C0"/>
    <w:rsid w:val="00062538"/>
    <w:rsid w:val="00065C4D"/>
    <w:rsid w:val="0008379B"/>
    <w:rsid w:val="000874E7"/>
    <w:rsid w:val="0009001C"/>
    <w:rsid w:val="000921FB"/>
    <w:rsid w:val="00092592"/>
    <w:rsid w:val="00094C0E"/>
    <w:rsid w:val="000A080D"/>
    <w:rsid w:val="000A293D"/>
    <w:rsid w:val="000A3930"/>
    <w:rsid w:val="000B2EA7"/>
    <w:rsid w:val="000B3E96"/>
    <w:rsid w:val="000B50DE"/>
    <w:rsid w:val="000B7F17"/>
    <w:rsid w:val="000C0C32"/>
    <w:rsid w:val="000C6468"/>
    <w:rsid w:val="000D214E"/>
    <w:rsid w:val="000D41C5"/>
    <w:rsid w:val="000D4799"/>
    <w:rsid w:val="000D6D3F"/>
    <w:rsid w:val="000E0027"/>
    <w:rsid w:val="000E2F88"/>
    <w:rsid w:val="000E38F5"/>
    <w:rsid w:val="000E59CC"/>
    <w:rsid w:val="000F3543"/>
    <w:rsid w:val="00100E21"/>
    <w:rsid w:val="00102850"/>
    <w:rsid w:val="001042E5"/>
    <w:rsid w:val="00105E3D"/>
    <w:rsid w:val="00113C59"/>
    <w:rsid w:val="00116577"/>
    <w:rsid w:val="00122363"/>
    <w:rsid w:val="0012349D"/>
    <w:rsid w:val="001268AE"/>
    <w:rsid w:val="00132B18"/>
    <w:rsid w:val="00137457"/>
    <w:rsid w:val="00143161"/>
    <w:rsid w:val="00153C55"/>
    <w:rsid w:val="00154F34"/>
    <w:rsid w:val="00166834"/>
    <w:rsid w:val="0016786E"/>
    <w:rsid w:val="00172A55"/>
    <w:rsid w:val="00172ABB"/>
    <w:rsid w:val="001732AA"/>
    <w:rsid w:val="00180BD3"/>
    <w:rsid w:val="00194B80"/>
    <w:rsid w:val="00194BF4"/>
    <w:rsid w:val="00195499"/>
    <w:rsid w:val="001B5C65"/>
    <w:rsid w:val="001C02D4"/>
    <w:rsid w:val="001D2E71"/>
    <w:rsid w:val="001D740A"/>
    <w:rsid w:val="001D79E9"/>
    <w:rsid w:val="001E322A"/>
    <w:rsid w:val="001E51CC"/>
    <w:rsid w:val="001E520E"/>
    <w:rsid w:val="001F05FD"/>
    <w:rsid w:val="001F2C00"/>
    <w:rsid w:val="00213935"/>
    <w:rsid w:val="00216BD7"/>
    <w:rsid w:val="00222944"/>
    <w:rsid w:val="00230194"/>
    <w:rsid w:val="00233B4F"/>
    <w:rsid w:val="00235B6B"/>
    <w:rsid w:val="002371F3"/>
    <w:rsid w:val="002440EA"/>
    <w:rsid w:val="0024432F"/>
    <w:rsid w:val="00255003"/>
    <w:rsid w:val="00260ADC"/>
    <w:rsid w:val="00260BBA"/>
    <w:rsid w:val="00260FF5"/>
    <w:rsid w:val="00264A90"/>
    <w:rsid w:val="00267501"/>
    <w:rsid w:val="00271AA1"/>
    <w:rsid w:val="002759CA"/>
    <w:rsid w:val="002805A3"/>
    <w:rsid w:val="00285D03"/>
    <w:rsid w:val="00286631"/>
    <w:rsid w:val="00292B2E"/>
    <w:rsid w:val="002A2B01"/>
    <w:rsid w:val="002A63FB"/>
    <w:rsid w:val="002C2C32"/>
    <w:rsid w:val="002C2C66"/>
    <w:rsid w:val="002C4CFF"/>
    <w:rsid w:val="002C66CA"/>
    <w:rsid w:val="002C746C"/>
    <w:rsid w:val="002D76EF"/>
    <w:rsid w:val="002E46D2"/>
    <w:rsid w:val="002E4E23"/>
    <w:rsid w:val="002E7346"/>
    <w:rsid w:val="002F0660"/>
    <w:rsid w:val="002F6BCB"/>
    <w:rsid w:val="00301A53"/>
    <w:rsid w:val="00302E92"/>
    <w:rsid w:val="003046CD"/>
    <w:rsid w:val="00305018"/>
    <w:rsid w:val="003065C5"/>
    <w:rsid w:val="00314426"/>
    <w:rsid w:val="00317546"/>
    <w:rsid w:val="0032297D"/>
    <w:rsid w:val="00323063"/>
    <w:rsid w:val="0032458C"/>
    <w:rsid w:val="00334DA4"/>
    <w:rsid w:val="00334E82"/>
    <w:rsid w:val="0033593C"/>
    <w:rsid w:val="003418E8"/>
    <w:rsid w:val="00342384"/>
    <w:rsid w:val="003423BB"/>
    <w:rsid w:val="00345BB8"/>
    <w:rsid w:val="00366875"/>
    <w:rsid w:val="003718B6"/>
    <w:rsid w:val="00372289"/>
    <w:rsid w:val="0038114E"/>
    <w:rsid w:val="003819F9"/>
    <w:rsid w:val="00382458"/>
    <w:rsid w:val="00382838"/>
    <w:rsid w:val="003863B8"/>
    <w:rsid w:val="00391FA6"/>
    <w:rsid w:val="00393F19"/>
    <w:rsid w:val="003949E8"/>
    <w:rsid w:val="003A00AD"/>
    <w:rsid w:val="003A08F7"/>
    <w:rsid w:val="003B2C5C"/>
    <w:rsid w:val="003B5328"/>
    <w:rsid w:val="003B7037"/>
    <w:rsid w:val="003C1B9C"/>
    <w:rsid w:val="003D08E2"/>
    <w:rsid w:val="003D219C"/>
    <w:rsid w:val="003D37DE"/>
    <w:rsid w:val="003D7667"/>
    <w:rsid w:val="003E17D0"/>
    <w:rsid w:val="003E426B"/>
    <w:rsid w:val="003E5234"/>
    <w:rsid w:val="003F1A70"/>
    <w:rsid w:val="003F3E6B"/>
    <w:rsid w:val="003F5300"/>
    <w:rsid w:val="003F75C8"/>
    <w:rsid w:val="0040174D"/>
    <w:rsid w:val="00404127"/>
    <w:rsid w:val="004054DF"/>
    <w:rsid w:val="00405A2D"/>
    <w:rsid w:val="00406723"/>
    <w:rsid w:val="00410FEE"/>
    <w:rsid w:val="00417AA8"/>
    <w:rsid w:val="00427D3D"/>
    <w:rsid w:val="00427F12"/>
    <w:rsid w:val="00430118"/>
    <w:rsid w:val="004336FE"/>
    <w:rsid w:val="0043401C"/>
    <w:rsid w:val="0043538E"/>
    <w:rsid w:val="00437138"/>
    <w:rsid w:val="00443F69"/>
    <w:rsid w:val="00450DB2"/>
    <w:rsid w:val="00451A5D"/>
    <w:rsid w:val="00454986"/>
    <w:rsid w:val="004601C4"/>
    <w:rsid w:val="004670D1"/>
    <w:rsid w:val="004707EB"/>
    <w:rsid w:val="00471649"/>
    <w:rsid w:val="00472F5B"/>
    <w:rsid w:val="00474E34"/>
    <w:rsid w:val="00483751"/>
    <w:rsid w:val="004901D1"/>
    <w:rsid w:val="00490B6B"/>
    <w:rsid w:val="00491380"/>
    <w:rsid w:val="00492682"/>
    <w:rsid w:val="004968D9"/>
    <w:rsid w:val="004A3CB5"/>
    <w:rsid w:val="004A4618"/>
    <w:rsid w:val="004A54AB"/>
    <w:rsid w:val="004B2E02"/>
    <w:rsid w:val="004B357F"/>
    <w:rsid w:val="004C35CC"/>
    <w:rsid w:val="004C429F"/>
    <w:rsid w:val="004C4393"/>
    <w:rsid w:val="004D35F1"/>
    <w:rsid w:val="004E0DFA"/>
    <w:rsid w:val="004E6ED3"/>
    <w:rsid w:val="004F5F0F"/>
    <w:rsid w:val="004F7AA7"/>
    <w:rsid w:val="00500756"/>
    <w:rsid w:val="00510011"/>
    <w:rsid w:val="00510DEF"/>
    <w:rsid w:val="00514DD0"/>
    <w:rsid w:val="005157AA"/>
    <w:rsid w:val="00516911"/>
    <w:rsid w:val="005234C2"/>
    <w:rsid w:val="005234E6"/>
    <w:rsid w:val="00523C65"/>
    <w:rsid w:val="00523CE1"/>
    <w:rsid w:val="005269A5"/>
    <w:rsid w:val="00527037"/>
    <w:rsid w:val="00527263"/>
    <w:rsid w:val="005339DC"/>
    <w:rsid w:val="005442E1"/>
    <w:rsid w:val="00554161"/>
    <w:rsid w:val="00566EA8"/>
    <w:rsid w:val="00570ACE"/>
    <w:rsid w:val="00571899"/>
    <w:rsid w:val="005874EB"/>
    <w:rsid w:val="005945D7"/>
    <w:rsid w:val="005A68D0"/>
    <w:rsid w:val="005B0E8D"/>
    <w:rsid w:val="005B37D5"/>
    <w:rsid w:val="005B684D"/>
    <w:rsid w:val="005C279A"/>
    <w:rsid w:val="005D15EE"/>
    <w:rsid w:val="005D64DA"/>
    <w:rsid w:val="005E028F"/>
    <w:rsid w:val="005E289F"/>
    <w:rsid w:val="005E5E0F"/>
    <w:rsid w:val="005E5F96"/>
    <w:rsid w:val="005E617D"/>
    <w:rsid w:val="005E691F"/>
    <w:rsid w:val="005F0B76"/>
    <w:rsid w:val="005F4C89"/>
    <w:rsid w:val="005F5C16"/>
    <w:rsid w:val="00603877"/>
    <w:rsid w:val="006048D8"/>
    <w:rsid w:val="00605F0F"/>
    <w:rsid w:val="006062A9"/>
    <w:rsid w:val="00622702"/>
    <w:rsid w:val="006253EA"/>
    <w:rsid w:val="00632C21"/>
    <w:rsid w:val="00634E6B"/>
    <w:rsid w:val="006373C8"/>
    <w:rsid w:val="0063783A"/>
    <w:rsid w:val="006431FB"/>
    <w:rsid w:val="0065134B"/>
    <w:rsid w:val="00655622"/>
    <w:rsid w:val="0066533E"/>
    <w:rsid w:val="006656B0"/>
    <w:rsid w:val="00667CAB"/>
    <w:rsid w:val="00670FFD"/>
    <w:rsid w:val="00674991"/>
    <w:rsid w:val="00676D87"/>
    <w:rsid w:val="00681EB0"/>
    <w:rsid w:val="00682397"/>
    <w:rsid w:val="006859B5"/>
    <w:rsid w:val="0069735C"/>
    <w:rsid w:val="006A01A8"/>
    <w:rsid w:val="006A50FD"/>
    <w:rsid w:val="006B0DC3"/>
    <w:rsid w:val="006B2E1C"/>
    <w:rsid w:val="006B4BC1"/>
    <w:rsid w:val="006B6FB4"/>
    <w:rsid w:val="006B7B76"/>
    <w:rsid w:val="006C0FF5"/>
    <w:rsid w:val="006C15A0"/>
    <w:rsid w:val="006C4F8D"/>
    <w:rsid w:val="006D0362"/>
    <w:rsid w:val="006D139E"/>
    <w:rsid w:val="006D2D83"/>
    <w:rsid w:val="006E2486"/>
    <w:rsid w:val="006E3FC9"/>
    <w:rsid w:val="006F2378"/>
    <w:rsid w:val="006F4817"/>
    <w:rsid w:val="006F6B08"/>
    <w:rsid w:val="006F7E67"/>
    <w:rsid w:val="00703471"/>
    <w:rsid w:val="00710A2C"/>
    <w:rsid w:val="007162C5"/>
    <w:rsid w:val="00721EAE"/>
    <w:rsid w:val="0072606C"/>
    <w:rsid w:val="007300C8"/>
    <w:rsid w:val="00732AB0"/>
    <w:rsid w:val="00733F22"/>
    <w:rsid w:val="00734021"/>
    <w:rsid w:val="00745677"/>
    <w:rsid w:val="00746217"/>
    <w:rsid w:val="007468D5"/>
    <w:rsid w:val="00751E85"/>
    <w:rsid w:val="007526F2"/>
    <w:rsid w:val="00752D64"/>
    <w:rsid w:val="00752DF8"/>
    <w:rsid w:val="00752F47"/>
    <w:rsid w:val="00753827"/>
    <w:rsid w:val="00755197"/>
    <w:rsid w:val="00756719"/>
    <w:rsid w:val="00761F62"/>
    <w:rsid w:val="00764C43"/>
    <w:rsid w:val="00764CB3"/>
    <w:rsid w:val="0077051A"/>
    <w:rsid w:val="007729DA"/>
    <w:rsid w:val="00776056"/>
    <w:rsid w:val="00776B76"/>
    <w:rsid w:val="0078118B"/>
    <w:rsid w:val="007843BD"/>
    <w:rsid w:val="0079372B"/>
    <w:rsid w:val="00794418"/>
    <w:rsid w:val="007A32F8"/>
    <w:rsid w:val="007B0193"/>
    <w:rsid w:val="007B3A51"/>
    <w:rsid w:val="007B58C8"/>
    <w:rsid w:val="007B64D4"/>
    <w:rsid w:val="007C62A2"/>
    <w:rsid w:val="007C7873"/>
    <w:rsid w:val="007D2BED"/>
    <w:rsid w:val="007D3680"/>
    <w:rsid w:val="007E717F"/>
    <w:rsid w:val="007F0A53"/>
    <w:rsid w:val="007F16A9"/>
    <w:rsid w:val="007F5C49"/>
    <w:rsid w:val="00805E4F"/>
    <w:rsid w:val="00806B02"/>
    <w:rsid w:val="008102FD"/>
    <w:rsid w:val="00822B8E"/>
    <w:rsid w:val="00832444"/>
    <w:rsid w:val="0083660C"/>
    <w:rsid w:val="008451BB"/>
    <w:rsid w:val="00847A24"/>
    <w:rsid w:val="00847E52"/>
    <w:rsid w:val="008517D2"/>
    <w:rsid w:val="00860F04"/>
    <w:rsid w:val="00861C0D"/>
    <w:rsid w:val="0086208E"/>
    <w:rsid w:val="008707F0"/>
    <w:rsid w:val="00876A3E"/>
    <w:rsid w:val="0088026A"/>
    <w:rsid w:val="00880457"/>
    <w:rsid w:val="00890F5A"/>
    <w:rsid w:val="008910C6"/>
    <w:rsid w:val="008B5A0C"/>
    <w:rsid w:val="008C4966"/>
    <w:rsid w:val="008D06ED"/>
    <w:rsid w:val="008D648B"/>
    <w:rsid w:val="008E123A"/>
    <w:rsid w:val="008E764B"/>
    <w:rsid w:val="008E7DD6"/>
    <w:rsid w:val="008F4FD5"/>
    <w:rsid w:val="009060E3"/>
    <w:rsid w:val="009061EF"/>
    <w:rsid w:val="00920DA6"/>
    <w:rsid w:val="00922978"/>
    <w:rsid w:val="00931238"/>
    <w:rsid w:val="009442DE"/>
    <w:rsid w:val="00945C0A"/>
    <w:rsid w:val="0094646B"/>
    <w:rsid w:val="00950D32"/>
    <w:rsid w:val="00954DCB"/>
    <w:rsid w:val="00956ED5"/>
    <w:rsid w:val="00957435"/>
    <w:rsid w:val="00960CBD"/>
    <w:rsid w:val="009625EF"/>
    <w:rsid w:val="009628AA"/>
    <w:rsid w:val="00962D05"/>
    <w:rsid w:val="00970776"/>
    <w:rsid w:val="00973232"/>
    <w:rsid w:val="00973950"/>
    <w:rsid w:val="00986AF5"/>
    <w:rsid w:val="00994416"/>
    <w:rsid w:val="009A1CDC"/>
    <w:rsid w:val="009A74DF"/>
    <w:rsid w:val="009B1DBC"/>
    <w:rsid w:val="009B2382"/>
    <w:rsid w:val="009B6433"/>
    <w:rsid w:val="009C07EC"/>
    <w:rsid w:val="009C3CB2"/>
    <w:rsid w:val="009D3793"/>
    <w:rsid w:val="009D3964"/>
    <w:rsid w:val="009D700E"/>
    <w:rsid w:val="009E7A73"/>
    <w:rsid w:val="00A016C5"/>
    <w:rsid w:val="00A028B6"/>
    <w:rsid w:val="00A049DA"/>
    <w:rsid w:val="00A07660"/>
    <w:rsid w:val="00A10A61"/>
    <w:rsid w:val="00A1725B"/>
    <w:rsid w:val="00A24920"/>
    <w:rsid w:val="00A24977"/>
    <w:rsid w:val="00A24A25"/>
    <w:rsid w:val="00A26478"/>
    <w:rsid w:val="00A31C2C"/>
    <w:rsid w:val="00A35982"/>
    <w:rsid w:val="00A3721F"/>
    <w:rsid w:val="00A3759B"/>
    <w:rsid w:val="00A42A71"/>
    <w:rsid w:val="00A469D1"/>
    <w:rsid w:val="00A53C38"/>
    <w:rsid w:val="00A55AAB"/>
    <w:rsid w:val="00A55B22"/>
    <w:rsid w:val="00A62281"/>
    <w:rsid w:val="00A63C36"/>
    <w:rsid w:val="00A65FBE"/>
    <w:rsid w:val="00A70F3A"/>
    <w:rsid w:val="00A733CA"/>
    <w:rsid w:val="00A77A65"/>
    <w:rsid w:val="00A80E41"/>
    <w:rsid w:val="00A83328"/>
    <w:rsid w:val="00A87A6D"/>
    <w:rsid w:val="00A93CE7"/>
    <w:rsid w:val="00AA2AF2"/>
    <w:rsid w:val="00AA31EB"/>
    <w:rsid w:val="00AA3B1A"/>
    <w:rsid w:val="00AA4AD2"/>
    <w:rsid w:val="00AB494C"/>
    <w:rsid w:val="00AB5105"/>
    <w:rsid w:val="00AC22B8"/>
    <w:rsid w:val="00AC79D1"/>
    <w:rsid w:val="00AD4D43"/>
    <w:rsid w:val="00AD673D"/>
    <w:rsid w:val="00AF1B34"/>
    <w:rsid w:val="00AF732C"/>
    <w:rsid w:val="00B0010A"/>
    <w:rsid w:val="00B155F3"/>
    <w:rsid w:val="00B167C5"/>
    <w:rsid w:val="00B207FF"/>
    <w:rsid w:val="00B227AC"/>
    <w:rsid w:val="00B230E6"/>
    <w:rsid w:val="00B24938"/>
    <w:rsid w:val="00B25116"/>
    <w:rsid w:val="00B338CD"/>
    <w:rsid w:val="00B429F4"/>
    <w:rsid w:val="00B45F7E"/>
    <w:rsid w:val="00B50130"/>
    <w:rsid w:val="00B507FF"/>
    <w:rsid w:val="00B5158C"/>
    <w:rsid w:val="00B52570"/>
    <w:rsid w:val="00B5757A"/>
    <w:rsid w:val="00B5789C"/>
    <w:rsid w:val="00B57947"/>
    <w:rsid w:val="00B66315"/>
    <w:rsid w:val="00B745E3"/>
    <w:rsid w:val="00B76594"/>
    <w:rsid w:val="00B821CE"/>
    <w:rsid w:val="00B83640"/>
    <w:rsid w:val="00B838D4"/>
    <w:rsid w:val="00B868A0"/>
    <w:rsid w:val="00B96282"/>
    <w:rsid w:val="00BA4B36"/>
    <w:rsid w:val="00BA58FE"/>
    <w:rsid w:val="00BB348B"/>
    <w:rsid w:val="00BC2FF6"/>
    <w:rsid w:val="00BD0C93"/>
    <w:rsid w:val="00BD36CC"/>
    <w:rsid w:val="00BE1742"/>
    <w:rsid w:val="00BE4C67"/>
    <w:rsid w:val="00BF2B7D"/>
    <w:rsid w:val="00BF4637"/>
    <w:rsid w:val="00C02112"/>
    <w:rsid w:val="00C03174"/>
    <w:rsid w:val="00C03D64"/>
    <w:rsid w:val="00C15A41"/>
    <w:rsid w:val="00C22404"/>
    <w:rsid w:val="00C2758A"/>
    <w:rsid w:val="00C3068C"/>
    <w:rsid w:val="00C31059"/>
    <w:rsid w:val="00C46EBB"/>
    <w:rsid w:val="00C47C7B"/>
    <w:rsid w:val="00C617C3"/>
    <w:rsid w:val="00C63808"/>
    <w:rsid w:val="00C65AC1"/>
    <w:rsid w:val="00C7584D"/>
    <w:rsid w:val="00C77D00"/>
    <w:rsid w:val="00C808E3"/>
    <w:rsid w:val="00C9096E"/>
    <w:rsid w:val="00C93360"/>
    <w:rsid w:val="00C95DD2"/>
    <w:rsid w:val="00CA16E8"/>
    <w:rsid w:val="00CA691B"/>
    <w:rsid w:val="00CA73B0"/>
    <w:rsid w:val="00CB16C0"/>
    <w:rsid w:val="00CB1809"/>
    <w:rsid w:val="00CB2267"/>
    <w:rsid w:val="00CB7831"/>
    <w:rsid w:val="00CC0F52"/>
    <w:rsid w:val="00CC148F"/>
    <w:rsid w:val="00CD3EB0"/>
    <w:rsid w:val="00CD534A"/>
    <w:rsid w:val="00CD6213"/>
    <w:rsid w:val="00CD7E53"/>
    <w:rsid w:val="00D0381D"/>
    <w:rsid w:val="00D1053C"/>
    <w:rsid w:val="00D13E9A"/>
    <w:rsid w:val="00D16E4F"/>
    <w:rsid w:val="00D20A60"/>
    <w:rsid w:val="00D20F2E"/>
    <w:rsid w:val="00D2328A"/>
    <w:rsid w:val="00D26AAB"/>
    <w:rsid w:val="00D30F07"/>
    <w:rsid w:val="00D344CA"/>
    <w:rsid w:val="00D34BEB"/>
    <w:rsid w:val="00D40BCB"/>
    <w:rsid w:val="00D417FE"/>
    <w:rsid w:val="00D4336E"/>
    <w:rsid w:val="00D47EC4"/>
    <w:rsid w:val="00D52A73"/>
    <w:rsid w:val="00D52B4C"/>
    <w:rsid w:val="00D56D26"/>
    <w:rsid w:val="00D722C6"/>
    <w:rsid w:val="00D7247B"/>
    <w:rsid w:val="00D770CC"/>
    <w:rsid w:val="00D82C59"/>
    <w:rsid w:val="00D84265"/>
    <w:rsid w:val="00D85980"/>
    <w:rsid w:val="00DA3CFD"/>
    <w:rsid w:val="00DA6975"/>
    <w:rsid w:val="00DB2E81"/>
    <w:rsid w:val="00DC06D1"/>
    <w:rsid w:val="00DC10C8"/>
    <w:rsid w:val="00DC2150"/>
    <w:rsid w:val="00DC7A09"/>
    <w:rsid w:val="00DD0719"/>
    <w:rsid w:val="00DD090E"/>
    <w:rsid w:val="00DD2738"/>
    <w:rsid w:val="00DD46E1"/>
    <w:rsid w:val="00DD7F98"/>
    <w:rsid w:val="00DE2AFB"/>
    <w:rsid w:val="00DE4A12"/>
    <w:rsid w:val="00DE70C8"/>
    <w:rsid w:val="00DF2D9C"/>
    <w:rsid w:val="00DF6163"/>
    <w:rsid w:val="00DF61DB"/>
    <w:rsid w:val="00DF622D"/>
    <w:rsid w:val="00E00363"/>
    <w:rsid w:val="00E01BCA"/>
    <w:rsid w:val="00E13E35"/>
    <w:rsid w:val="00E149A4"/>
    <w:rsid w:val="00E17138"/>
    <w:rsid w:val="00E206E9"/>
    <w:rsid w:val="00E21197"/>
    <w:rsid w:val="00E21C42"/>
    <w:rsid w:val="00E22443"/>
    <w:rsid w:val="00E2352B"/>
    <w:rsid w:val="00E250B8"/>
    <w:rsid w:val="00E32D67"/>
    <w:rsid w:val="00E33923"/>
    <w:rsid w:val="00E3496B"/>
    <w:rsid w:val="00E4152F"/>
    <w:rsid w:val="00E42560"/>
    <w:rsid w:val="00E47C9F"/>
    <w:rsid w:val="00E5094B"/>
    <w:rsid w:val="00E71620"/>
    <w:rsid w:val="00E73939"/>
    <w:rsid w:val="00E7466C"/>
    <w:rsid w:val="00E82E91"/>
    <w:rsid w:val="00E832F8"/>
    <w:rsid w:val="00E96C4C"/>
    <w:rsid w:val="00EA246F"/>
    <w:rsid w:val="00EA5481"/>
    <w:rsid w:val="00EB5FDE"/>
    <w:rsid w:val="00EB6DE4"/>
    <w:rsid w:val="00ED53D8"/>
    <w:rsid w:val="00EE0AB7"/>
    <w:rsid w:val="00EE2294"/>
    <w:rsid w:val="00EE325C"/>
    <w:rsid w:val="00EF0E94"/>
    <w:rsid w:val="00EF2818"/>
    <w:rsid w:val="00EF3DF8"/>
    <w:rsid w:val="00F02A7B"/>
    <w:rsid w:val="00F07DAC"/>
    <w:rsid w:val="00F100A3"/>
    <w:rsid w:val="00F1539F"/>
    <w:rsid w:val="00F159E9"/>
    <w:rsid w:val="00F2295A"/>
    <w:rsid w:val="00F22AC9"/>
    <w:rsid w:val="00F247C7"/>
    <w:rsid w:val="00F278A1"/>
    <w:rsid w:val="00F30C2A"/>
    <w:rsid w:val="00F322BF"/>
    <w:rsid w:val="00F3267A"/>
    <w:rsid w:val="00F3641D"/>
    <w:rsid w:val="00F4359F"/>
    <w:rsid w:val="00F460B9"/>
    <w:rsid w:val="00F736BF"/>
    <w:rsid w:val="00F7560A"/>
    <w:rsid w:val="00F759E2"/>
    <w:rsid w:val="00F772AF"/>
    <w:rsid w:val="00F8072A"/>
    <w:rsid w:val="00F82FF7"/>
    <w:rsid w:val="00F96734"/>
    <w:rsid w:val="00FA08DA"/>
    <w:rsid w:val="00FD2361"/>
    <w:rsid w:val="00FE5B94"/>
    <w:rsid w:val="00FF0A11"/>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B954"/>
  <w15:chartTrackingRefBased/>
  <w15:docId w15:val="{31A38375-67A6-4444-BD58-899D8B1E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04"/>
    <w:pPr>
      <w:ind w:left="720"/>
      <w:contextualSpacing/>
    </w:pPr>
  </w:style>
  <w:style w:type="paragraph" w:styleId="FootnoteText">
    <w:name w:val="footnote text"/>
    <w:basedOn w:val="Normal"/>
    <w:link w:val="FootnoteTextChar"/>
    <w:uiPriority w:val="99"/>
    <w:unhideWhenUsed/>
    <w:rsid w:val="00847E52"/>
    <w:pPr>
      <w:spacing w:after="0" w:line="240" w:lineRule="auto"/>
    </w:pPr>
    <w:rPr>
      <w:sz w:val="20"/>
      <w:szCs w:val="20"/>
    </w:rPr>
  </w:style>
  <w:style w:type="character" w:customStyle="1" w:styleId="FootnoteTextChar">
    <w:name w:val="Footnote Text Char"/>
    <w:basedOn w:val="DefaultParagraphFont"/>
    <w:link w:val="FootnoteText"/>
    <w:uiPriority w:val="99"/>
    <w:rsid w:val="00847E52"/>
    <w:rPr>
      <w:sz w:val="20"/>
      <w:szCs w:val="20"/>
    </w:rPr>
  </w:style>
  <w:style w:type="character" w:styleId="FootnoteReference">
    <w:name w:val="footnote reference"/>
    <w:basedOn w:val="DefaultParagraphFont"/>
    <w:uiPriority w:val="99"/>
    <w:semiHidden/>
    <w:unhideWhenUsed/>
    <w:rsid w:val="00847E52"/>
    <w:rPr>
      <w:vertAlign w:val="superscript"/>
    </w:rPr>
  </w:style>
  <w:style w:type="paragraph" w:customStyle="1" w:styleId="Nota">
    <w:name w:val="Nota"/>
    <w:basedOn w:val="FootnoteText"/>
    <w:qFormat/>
    <w:rsid w:val="00302E92"/>
    <w:pPr>
      <w:jc w:val="both"/>
    </w:pPr>
    <w:rPr>
      <w:rFonts w:ascii="Times New Roman" w:hAnsi="Times New Roman" w:cs="Times New Roman"/>
      <w:szCs w:val="24"/>
    </w:rPr>
  </w:style>
  <w:style w:type="character" w:styleId="Hyperlink">
    <w:name w:val="Hyperlink"/>
    <w:basedOn w:val="DefaultParagraphFont"/>
    <w:uiPriority w:val="99"/>
    <w:unhideWhenUsed/>
    <w:rsid w:val="001268AE"/>
    <w:rPr>
      <w:color w:val="0000FF"/>
      <w:u w:val="single"/>
    </w:rPr>
  </w:style>
  <w:style w:type="character" w:styleId="CommentReference">
    <w:name w:val="annotation reference"/>
    <w:basedOn w:val="DefaultParagraphFont"/>
    <w:uiPriority w:val="99"/>
    <w:semiHidden/>
    <w:unhideWhenUsed/>
    <w:rsid w:val="003B2C5C"/>
    <w:rPr>
      <w:sz w:val="16"/>
      <w:szCs w:val="16"/>
    </w:rPr>
  </w:style>
  <w:style w:type="paragraph" w:styleId="CommentText">
    <w:name w:val="annotation text"/>
    <w:basedOn w:val="Normal"/>
    <w:link w:val="CommentTextChar"/>
    <w:uiPriority w:val="99"/>
    <w:semiHidden/>
    <w:unhideWhenUsed/>
    <w:rsid w:val="003B2C5C"/>
    <w:pPr>
      <w:spacing w:line="240" w:lineRule="auto"/>
    </w:pPr>
    <w:rPr>
      <w:sz w:val="20"/>
      <w:szCs w:val="20"/>
    </w:rPr>
  </w:style>
  <w:style w:type="character" w:customStyle="1" w:styleId="CommentTextChar">
    <w:name w:val="Comment Text Char"/>
    <w:basedOn w:val="DefaultParagraphFont"/>
    <w:link w:val="CommentText"/>
    <w:uiPriority w:val="99"/>
    <w:semiHidden/>
    <w:rsid w:val="003B2C5C"/>
    <w:rPr>
      <w:sz w:val="20"/>
      <w:szCs w:val="20"/>
    </w:rPr>
  </w:style>
  <w:style w:type="paragraph" w:styleId="CommentSubject">
    <w:name w:val="annotation subject"/>
    <w:basedOn w:val="CommentText"/>
    <w:next w:val="CommentText"/>
    <w:link w:val="CommentSubjectChar"/>
    <w:uiPriority w:val="99"/>
    <w:semiHidden/>
    <w:unhideWhenUsed/>
    <w:rsid w:val="003B2C5C"/>
    <w:rPr>
      <w:b/>
      <w:bCs/>
    </w:rPr>
  </w:style>
  <w:style w:type="character" w:customStyle="1" w:styleId="CommentSubjectChar">
    <w:name w:val="Comment Subject Char"/>
    <w:basedOn w:val="CommentTextChar"/>
    <w:link w:val="CommentSubject"/>
    <w:uiPriority w:val="99"/>
    <w:semiHidden/>
    <w:rsid w:val="003B2C5C"/>
    <w:rPr>
      <w:b/>
      <w:bCs/>
      <w:sz w:val="20"/>
      <w:szCs w:val="20"/>
    </w:rPr>
  </w:style>
  <w:style w:type="paragraph" w:styleId="BalloonText">
    <w:name w:val="Balloon Text"/>
    <w:basedOn w:val="Normal"/>
    <w:link w:val="BalloonTextChar"/>
    <w:uiPriority w:val="99"/>
    <w:semiHidden/>
    <w:unhideWhenUsed/>
    <w:rsid w:val="003B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5C"/>
    <w:rPr>
      <w:rFonts w:ascii="Segoe UI" w:hAnsi="Segoe UI" w:cs="Segoe UI"/>
      <w:sz w:val="18"/>
      <w:szCs w:val="18"/>
    </w:rPr>
  </w:style>
  <w:style w:type="paragraph" w:styleId="Header">
    <w:name w:val="header"/>
    <w:basedOn w:val="Normal"/>
    <w:link w:val="HeaderChar"/>
    <w:uiPriority w:val="99"/>
    <w:unhideWhenUsed/>
    <w:rsid w:val="00DC7A09"/>
    <w:pPr>
      <w:tabs>
        <w:tab w:val="center" w:pos="4986"/>
        <w:tab w:val="right" w:pos="9972"/>
      </w:tabs>
      <w:spacing w:after="0" w:line="240" w:lineRule="auto"/>
    </w:pPr>
  </w:style>
  <w:style w:type="character" w:customStyle="1" w:styleId="HeaderChar">
    <w:name w:val="Header Char"/>
    <w:basedOn w:val="DefaultParagraphFont"/>
    <w:link w:val="Header"/>
    <w:uiPriority w:val="99"/>
    <w:rsid w:val="00DC7A09"/>
  </w:style>
  <w:style w:type="paragraph" w:styleId="Footer">
    <w:name w:val="footer"/>
    <w:basedOn w:val="Normal"/>
    <w:link w:val="FooterChar"/>
    <w:uiPriority w:val="99"/>
    <w:unhideWhenUsed/>
    <w:rsid w:val="00DC7A09"/>
    <w:pPr>
      <w:tabs>
        <w:tab w:val="center" w:pos="4986"/>
        <w:tab w:val="right" w:pos="9972"/>
      </w:tabs>
      <w:spacing w:after="0" w:line="240" w:lineRule="auto"/>
    </w:pPr>
  </w:style>
  <w:style w:type="character" w:customStyle="1" w:styleId="FooterChar">
    <w:name w:val="Footer Char"/>
    <w:basedOn w:val="DefaultParagraphFont"/>
    <w:link w:val="Footer"/>
    <w:uiPriority w:val="99"/>
    <w:rsid w:val="00DC7A09"/>
  </w:style>
  <w:style w:type="paragraph" w:customStyle="1" w:styleId="Titoloperindice">
    <w:name w:val="Titolo per indice"/>
    <w:basedOn w:val="Normal"/>
    <w:qFormat/>
    <w:rsid w:val="00571899"/>
    <w:pPr>
      <w:spacing w:after="0" w:line="240" w:lineRule="auto"/>
      <w:jc w:val="both"/>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DC21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2150"/>
    <w:pPr>
      <w:outlineLvl w:val="9"/>
    </w:pPr>
  </w:style>
  <w:style w:type="character" w:styleId="FollowedHyperlink">
    <w:name w:val="FollowedHyperlink"/>
    <w:basedOn w:val="DefaultParagraphFont"/>
    <w:uiPriority w:val="99"/>
    <w:semiHidden/>
    <w:unhideWhenUsed/>
    <w:rsid w:val="001F2C00"/>
    <w:rPr>
      <w:color w:val="954F72" w:themeColor="followedHyperlink"/>
      <w:u w:val="single"/>
    </w:rPr>
  </w:style>
  <w:style w:type="paragraph" w:styleId="EndnoteText">
    <w:name w:val="endnote text"/>
    <w:basedOn w:val="Normal"/>
    <w:link w:val="EndnoteTextChar"/>
    <w:uiPriority w:val="99"/>
    <w:semiHidden/>
    <w:unhideWhenUsed/>
    <w:rsid w:val="00DA3C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3CFD"/>
    <w:rPr>
      <w:sz w:val="20"/>
      <w:szCs w:val="20"/>
    </w:rPr>
  </w:style>
  <w:style w:type="character" w:styleId="EndnoteReference">
    <w:name w:val="endnote reference"/>
    <w:basedOn w:val="DefaultParagraphFont"/>
    <w:uiPriority w:val="99"/>
    <w:semiHidden/>
    <w:unhideWhenUsed/>
    <w:rsid w:val="00DA3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651097">
      <w:bodyDiv w:val="1"/>
      <w:marLeft w:val="0"/>
      <w:marRight w:val="0"/>
      <w:marTop w:val="0"/>
      <w:marBottom w:val="0"/>
      <w:divBdr>
        <w:top w:val="none" w:sz="0" w:space="0" w:color="auto"/>
        <w:left w:val="none" w:sz="0" w:space="0" w:color="auto"/>
        <w:bottom w:val="none" w:sz="0" w:space="0" w:color="auto"/>
        <w:right w:val="none" w:sz="0" w:space="0" w:color="auto"/>
      </w:divBdr>
    </w:div>
    <w:div w:id="1584756784">
      <w:bodyDiv w:val="1"/>
      <w:marLeft w:val="0"/>
      <w:marRight w:val="0"/>
      <w:marTop w:val="0"/>
      <w:marBottom w:val="0"/>
      <w:divBdr>
        <w:top w:val="none" w:sz="0" w:space="0" w:color="auto"/>
        <w:left w:val="none" w:sz="0" w:space="0" w:color="auto"/>
        <w:bottom w:val="none" w:sz="0" w:space="0" w:color="auto"/>
        <w:right w:val="none" w:sz="0" w:space="0" w:color="auto"/>
      </w:divBdr>
      <w:divsChild>
        <w:div w:id="665205041">
          <w:marLeft w:val="-5610"/>
          <w:marRight w:val="0"/>
          <w:marTop w:val="0"/>
          <w:marBottom w:val="0"/>
          <w:divBdr>
            <w:top w:val="none" w:sz="0" w:space="0" w:color="auto"/>
            <w:left w:val="none" w:sz="0" w:space="0" w:color="auto"/>
            <w:bottom w:val="none" w:sz="0" w:space="0" w:color="auto"/>
            <w:right w:val="none" w:sz="0" w:space="0" w:color="auto"/>
          </w:divBdr>
        </w:div>
        <w:div w:id="944850518">
          <w:marLeft w:val="0"/>
          <w:marRight w:val="0"/>
          <w:marTop w:val="0"/>
          <w:marBottom w:val="0"/>
          <w:divBdr>
            <w:top w:val="none" w:sz="0" w:space="0" w:color="auto"/>
            <w:left w:val="none" w:sz="0" w:space="0" w:color="auto"/>
            <w:bottom w:val="none" w:sz="0" w:space="0" w:color="auto"/>
            <w:right w:val="none" w:sz="0" w:space="0" w:color="auto"/>
          </w:divBdr>
        </w:div>
      </w:divsChild>
    </w:div>
    <w:div w:id="16133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gate.net/publication/263429725_The_path_to_more_general_artificial_intelligence/link/5a6a17580f7e9b01f3efc656/download" TargetMode="External"/><Relationship Id="rId18" Type="http://schemas.openxmlformats.org/officeDocument/2006/relationships/hyperlink" Target="https://doi.org/10.1057/s41599-020-0494-4" TargetMode="External"/><Relationship Id="rId3" Type="http://schemas.openxmlformats.org/officeDocument/2006/relationships/styles" Target="styles.xml"/><Relationship Id="rId21" Type="http://schemas.openxmlformats.org/officeDocument/2006/relationships/hyperlink" Target="https://ec.europa.eu/info/strategy/priorities-2019-2024/europe-fit-digital-age/european-data-strategy" TargetMode="External"/><Relationship Id="rId7" Type="http://schemas.openxmlformats.org/officeDocument/2006/relationships/endnotes" Target="endnotes.xml"/><Relationship Id="rId12" Type="http://schemas.openxmlformats.org/officeDocument/2006/relationships/hyperlink" Target="https://www.ivir.nl/publicaties/download/EIPR_2005_3_databaseright.pdf" TargetMode="External"/><Relationship Id="rId17" Type="http://schemas.openxmlformats.org/officeDocument/2006/relationships/hyperlink" Target="http://jmc.stanford.edu/articles/whatisai.html" TargetMode="External"/><Relationship Id="rId2" Type="http://schemas.openxmlformats.org/officeDocument/2006/relationships/numbering" Target="numbering.xml"/><Relationship Id="rId16" Type="http://schemas.openxmlformats.org/officeDocument/2006/relationships/hyperlink" Target="https://www.aaai.org/ojs/index.php/aimagazine/article/view/1904/1802" TargetMode="External"/><Relationship Id="rId20" Type="http://schemas.openxmlformats.org/officeDocument/2006/relationships/hyperlink" Target="https://ssrn.com/abstract=1115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28622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mag.com/news/ai-databases-what-they-are-and-why-your-business-should-care" TargetMode="External"/><Relationship Id="rId23" Type="http://schemas.openxmlformats.org/officeDocument/2006/relationships/fontTable" Target="fontTable.xml"/><Relationship Id="rId10" Type="http://schemas.openxmlformats.org/officeDocument/2006/relationships/hyperlink" Target="https://papers.ssrn.com/sol3/papers.cfm?abstract_id=3245937" TargetMode="External"/><Relationship Id="rId19" Type="http://schemas.openxmlformats.org/officeDocument/2006/relationships/hyperlink" Target="http://copyrightblog.kluweriplaw.com/2017/01/31/pearson-v-bar-software-use-unprotected-databases/" TargetMode="External"/><Relationship Id="rId4" Type="http://schemas.openxmlformats.org/officeDocument/2006/relationships/settings" Target="settings.xml"/><Relationship Id="rId9" Type="http://schemas.openxmlformats.org/officeDocument/2006/relationships/hyperlink" Target="https://www.ivir.nl/publicaties/download/Data_property_Muenster.pdf" TargetMode="External"/><Relationship Id="rId14" Type="http://schemas.openxmlformats.org/officeDocument/2006/relationships/hyperlink" Target="https://www.ivir.nl/publicaties/download/spinofffordham.pdf" TargetMode="External"/><Relationship Id="rId22"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vir.nl/publicaties/download/EIPR_2005_3_databaseright.pdf" TargetMode="External"/><Relationship Id="rId13" Type="http://schemas.openxmlformats.org/officeDocument/2006/relationships/hyperlink" Target="https://www.bdex.com/" TargetMode="External"/><Relationship Id="rId3" Type="http://schemas.openxmlformats.org/officeDocument/2006/relationships/hyperlink" Target="http://jmc.stanford.edu/articles/whatisai.html" TargetMode="External"/><Relationship Id="rId7" Type="http://schemas.openxmlformats.org/officeDocument/2006/relationships/hyperlink" Target="https://www.ivir.nl/publicaties/download/spinofffordham.pdf" TargetMode="External"/><Relationship Id="rId12" Type="http://schemas.openxmlformats.org/officeDocument/2006/relationships/hyperlink" Target="http://copyrightblog.kluweriplaw.com/2017/01/31/pearson-v-bar-software-use-unprotected-databases/" TargetMode="External"/><Relationship Id="rId2" Type="http://schemas.openxmlformats.org/officeDocument/2006/relationships/hyperlink" Target="https://www.aaai.org/ojs/index.php/aimagazine/article/view/1904/1802" TargetMode="External"/><Relationship Id="rId1" Type="http://schemas.openxmlformats.org/officeDocument/2006/relationships/hyperlink" Target="https://ec.europa.eu/info/strategy/priorities-2019-2024/europe-fit-digital-age/european-data-strategy" TargetMode="External"/><Relationship Id="rId6" Type="http://schemas.openxmlformats.org/officeDocument/2006/relationships/hyperlink" Target="https://doi.org/10.1057/s41599-020-0494-4" TargetMode="External"/><Relationship Id="rId11" Type="http://schemas.openxmlformats.org/officeDocument/2006/relationships/hyperlink" Target="https://papers.ssrn.com/sol3/papers.cfm?abstract_id=2862248" TargetMode="External"/><Relationship Id="rId5" Type="http://schemas.openxmlformats.org/officeDocument/2006/relationships/hyperlink" Target="https://www.researchgate.net/publication/263429725_The_path_to_more_general_artificial_intelligence/link/5a6a17580f7e9b01f3efc656/download" TargetMode="External"/><Relationship Id="rId10" Type="http://schemas.openxmlformats.org/officeDocument/2006/relationships/hyperlink" Target="https://papers.ssrn.com/sol3/papers.cfm?abstract_id=3245937" TargetMode="External"/><Relationship Id="rId4" Type="http://schemas.openxmlformats.org/officeDocument/2006/relationships/hyperlink" Target="https://www.iso.org/obp/ui/" TargetMode="External"/><Relationship Id="rId9" Type="http://schemas.openxmlformats.org/officeDocument/2006/relationships/hyperlink" Target="https://ssrn.com/abstract=1115432" TargetMode="External"/><Relationship Id="rId14" Type="http://schemas.openxmlformats.org/officeDocument/2006/relationships/hyperlink" Target="https://www.ivir.nl/publicaties/download/Data_property_Muenste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8CC8-ABF7-42BE-B8A2-60F42656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6494</Words>
  <Characters>37018</Characters>
  <Application>Microsoft Office Word</Application>
  <DocSecurity>0</DocSecurity>
  <Lines>308</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Burdese</dc:creator>
  <cp:keywords/>
  <dc:description/>
  <cp:lastModifiedBy>Simon Knight</cp:lastModifiedBy>
  <cp:revision>2</cp:revision>
  <cp:lastPrinted>2020-07-22T21:30:00Z</cp:lastPrinted>
  <dcterms:created xsi:type="dcterms:W3CDTF">2020-12-16T09:35:00Z</dcterms:created>
  <dcterms:modified xsi:type="dcterms:W3CDTF">2020-12-16T09:35:00Z</dcterms:modified>
</cp:coreProperties>
</file>