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5A1D" w14:textId="77777777" w:rsidR="00651F9B" w:rsidRPr="0084362F" w:rsidRDefault="00651F9B" w:rsidP="00651F9B">
      <w:pPr>
        <w:jc w:val="center"/>
        <w:rPr>
          <w:b/>
          <w:bCs/>
          <w:sz w:val="28"/>
          <w:szCs w:val="28"/>
          <w:lang w:val="en-GB"/>
        </w:rPr>
      </w:pPr>
      <w:r w:rsidRPr="0084362F">
        <w:rPr>
          <w:b/>
          <w:bCs/>
          <w:sz w:val="28"/>
          <w:szCs w:val="28"/>
          <w:lang w:val="en-GB"/>
        </w:rPr>
        <w:t>ACCESS TO DATA: THE EUROPEAN SOLUTION FOR TEXT AND DATA MINING AND THE DEVELOPMENT OF ARTIFICIAL INTELLIGENCE</w:t>
      </w:r>
    </w:p>
    <w:p w14:paraId="580E1095" w14:textId="77777777" w:rsidR="00651F9B" w:rsidRPr="007A4951" w:rsidRDefault="00651F9B" w:rsidP="00651F9B">
      <w:pPr>
        <w:jc w:val="center"/>
        <w:rPr>
          <w:sz w:val="24"/>
          <w:szCs w:val="24"/>
          <w:lang w:val="en-GB"/>
        </w:rPr>
      </w:pPr>
      <w:r w:rsidRPr="007A4951">
        <w:rPr>
          <w:sz w:val="24"/>
          <w:szCs w:val="24"/>
          <w:lang w:val="en-GB"/>
        </w:rPr>
        <w:t xml:space="preserve">by </w:t>
      </w:r>
    </w:p>
    <w:p w14:paraId="2E9EFC52" w14:textId="77777777" w:rsidR="00651F9B" w:rsidRPr="007A4951" w:rsidRDefault="00651F9B" w:rsidP="00651F9B">
      <w:pPr>
        <w:jc w:val="center"/>
        <w:rPr>
          <w:i/>
          <w:iCs/>
          <w:sz w:val="24"/>
          <w:szCs w:val="24"/>
          <w:lang w:val="en-GB"/>
        </w:rPr>
      </w:pPr>
      <w:r w:rsidRPr="007A4951">
        <w:rPr>
          <w:i/>
          <w:iCs/>
          <w:sz w:val="24"/>
          <w:szCs w:val="24"/>
          <w:lang w:val="en-GB"/>
        </w:rPr>
        <w:t>Luisa Gatti</w:t>
      </w:r>
    </w:p>
    <w:p w14:paraId="2442A79D" w14:textId="77777777" w:rsidR="00651F9B" w:rsidRPr="007A4951" w:rsidRDefault="00651F9B" w:rsidP="00651F9B">
      <w:pPr>
        <w:jc w:val="center"/>
        <w:rPr>
          <w:i/>
          <w:iCs/>
          <w:sz w:val="24"/>
          <w:szCs w:val="24"/>
          <w:lang w:val="en-GB"/>
        </w:rPr>
      </w:pPr>
      <w:r w:rsidRPr="007A4951">
        <w:rPr>
          <w:i/>
          <w:iCs/>
          <w:sz w:val="24"/>
          <w:szCs w:val="24"/>
          <w:lang w:val="en-GB"/>
        </w:rPr>
        <w:t>Master of Laws in Intellectual Property - 2019/2020</w:t>
      </w:r>
    </w:p>
    <w:p w14:paraId="2C24F300" w14:textId="77777777" w:rsidR="00651F9B" w:rsidRPr="007A4951" w:rsidRDefault="00651F9B" w:rsidP="00651F9B">
      <w:pPr>
        <w:jc w:val="center"/>
        <w:rPr>
          <w:i/>
          <w:iCs/>
          <w:sz w:val="24"/>
          <w:szCs w:val="24"/>
          <w:lang w:val="en-GB"/>
        </w:rPr>
      </w:pPr>
      <w:r w:rsidRPr="007A4951">
        <w:rPr>
          <w:i/>
          <w:iCs/>
          <w:sz w:val="24"/>
          <w:szCs w:val="24"/>
          <w:lang w:val="en-GB"/>
        </w:rPr>
        <w:t xml:space="preserve">WIPO Academy, University of </w:t>
      </w:r>
      <w:proofErr w:type="gramStart"/>
      <w:r w:rsidRPr="007A4951">
        <w:rPr>
          <w:i/>
          <w:iCs/>
          <w:sz w:val="24"/>
          <w:szCs w:val="24"/>
          <w:lang w:val="en-GB"/>
        </w:rPr>
        <w:t>Turin</w:t>
      </w:r>
      <w:proofErr w:type="gramEnd"/>
      <w:r w:rsidRPr="007A4951">
        <w:rPr>
          <w:i/>
          <w:iCs/>
          <w:sz w:val="24"/>
          <w:szCs w:val="24"/>
          <w:lang w:val="en-GB"/>
        </w:rPr>
        <w:t xml:space="preserve"> and International Training Centre of the ILO</w:t>
      </w:r>
    </w:p>
    <w:p w14:paraId="208B0CFC" w14:textId="77777777" w:rsidR="00651F9B" w:rsidRDefault="00651F9B" w:rsidP="00651F9B">
      <w:pPr>
        <w:jc w:val="center"/>
        <w:rPr>
          <w:i/>
          <w:iCs/>
          <w:lang w:val="en-GB"/>
        </w:rPr>
      </w:pPr>
    </w:p>
    <w:p w14:paraId="117DEC0D" w14:textId="77777777" w:rsidR="00651F9B" w:rsidRPr="00AA7516" w:rsidRDefault="00651F9B" w:rsidP="00651F9B">
      <w:pPr>
        <w:jc w:val="center"/>
        <w:rPr>
          <w:b/>
          <w:bCs/>
          <w:sz w:val="28"/>
          <w:szCs w:val="28"/>
          <w:lang w:val="en-GB"/>
        </w:rPr>
      </w:pPr>
      <w:r w:rsidRPr="00AA7516">
        <w:rPr>
          <w:b/>
          <w:bCs/>
          <w:sz w:val="28"/>
          <w:szCs w:val="28"/>
          <w:lang w:val="en-GB"/>
        </w:rPr>
        <w:t>Abstract</w:t>
      </w:r>
    </w:p>
    <w:p w14:paraId="26D573A9" w14:textId="77777777" w:rsidR="00651F9B" w:rsidRPr="007A4951" w:rsidRDefault="00651F9B" w:rsidP="00651F9B">
      <w:pPr>
        <w:jc w:val="both"/>
        <w:rPr>
          <w:sz w:val="24"/>
          <w:szCs w:val="24"/>
          <w:lang w:val="en-GB"/>
        </w:rPr>
      </w:pPr>
      <w:r>
        <w:rPr>
          <w:sz w:val="24"/>
          <w:szCs w:val="24"/>
          <w:lang w:val="en-GB"/>
        </w:rPr>
        <w:t>In recent</w:t>
      </w:r>
      <w:r w:rsidRPr="007A4951">
        <w:rPr>
          <w:sz w:val="24"/>
          <w:szCs w:val="24"/>
          <w:lang w:val="en-GB"/>
        </w:rPr>
        <w:t xml:space="preserve"> years, data </w:t>
      </w:r>
      <w:r>
        <w:rPr>
          <w:sz w:val="24"/>
          <w:szCs w:val="24"/>
          <w:lang w:val="en-GB"/>
        </w:rPr>
        <w:t>has</w:t>
      </w:r>
      <w:r w:rsidRPr="007A4951">
        <w:rPr>
          <w:sz w:val="24"/>
          <w:szCs w:val="24"/>
          <w:lang w:val="en-GB"/>
        </w:rPr>
        <w:t xml:space="preserve"> been </w:t>
      </w:r>
      <w:r>
        <w:rPr>
          <w:sz w:val="24"/>
          <w:szCs w:val="24"/>
          <w:lang w:val="en-GB"/>
        </w:rPr>
        <w:t xml:space="preserve">central to </w:t>
      </w:r>
      <w:r w:rsidRPr="007A4951">
        <w:rPr>
          <w:sz w:val="24"/>
          <w:szCs w:val="24"/>
          <w:lang w:val="en-GB"/>
        </w:rPr>
        <w:t xml:space="preserve">the transformation of market and society. Data-driven innovation requires access to data and </w:t>
      </w:r>
      <w:r>
        <w:rPr>
          <w:sz w:val="24"/>
          <w:szCs w:val="24"/>
          <w:lang w:val="en-GB"/>
        </w:rPr>
        <w:t>its</w:t>
      </w:r>
      <w:r w:rsidRPr="007A4951">
        <w:rPr>
          <w:sz w:val="24"/>
          <w:szCs w:val="24"/>
          <w:lang w:val="en-GB"/>
        </w:rPr>
        <w:t xml:space="preserve"> analysis </w:t>
      </w:r>
      <w:proofErr w:type="gramStart"/>
      <w:r w:rsidRPr="007A4951">
        <w:rPr>
          <w:sz w:val="24"/>
          <w:szCs w:val="24"/>
          <w:lang w:val="en-GB"/>
        </w:rPr>
        <w:t>in order to</w:t>
      </w:r>
      <w:proofErr w:type="gramEnd"/>
      <w:r w:rsidRPr="007A4951">
        <w:rPr>
          <w:sz w:val="24"/>
          <w:szCs w:val="24"/>
          <w:lang w:val="en-GB"/>
        </w:rPr>
        <w:t xml:space="preserve"> extract knowledge and value from the information </w:t>
      </w:r>
      <w:r>
        <w:rPr>
          <w:sz w:val="24"/>
          <w:szCs w:val="24"/>
          <w:lang w:val="en-GB"/>
        </w:rPr>
        <w:t>it</w:t>
      </w:r>
      <w:r w:rsidRPr="007A4951">
        <w:rPr>
          <w:sz w:val="24"/>
          <w:szCs w:val="24"/>
          <w:lang w:val="en-GB"/>
        </w:rPr>
        <w:t xml:space="preserve"> convey</w:t>
      </w:r>
      <w:r>
        <w:rPr>
          <w:sz w:val="24"/>
          <w:szCs w:val="24"/>
          <w:lang w:val="en-GB"/>
        </w:rPr>
        <w:t>s</w:t>
      </w:r>
      <w:r w:rsidRPr="007A4951">
        <w:rPr>
          <w:sz w:val="24"/>
          <w:szCs w:val="24"/>
          <w:lang w:val="en-GB"/>
        </w:rPr>
        <w:t>. This is particularly crucial for the development of artificial intelligence. However, such use and exploitation of data may interfere with the exclusive rights of intellectual property owners. After a brief introduction, th</w:t>
      </w:r>
      <w:r>
        <w:rPr>
          <w:sz w:val="24"/>
          <w:szCs w:val="24"/>
          <w:lang w:val="en-GB"/>
        </w:rPr>
        <w:t>is</w:t>
      </w:r>
      <w:r w:rsidRPr="007A4951">
        <w:rPr>
          <w:sz w:val="24"/>
          <w:szCs w:val="24"/>
          <w:lang w:val="en-GB"/>
        </w:rPr>
        <w:t xml:space="preserve"> paper will examine the restrictions deriving from copyright and the exceptions </w:t>
      </w:r>
      <w:r>
        <w:rPr>
          <w:sz w:val="24"/>
          <w:szCs w:val="24"/>
          <w:lang w:val="en-GB"/>
        </w:rPr>
        <w:t>permitted</w:t>
      </w:r>
      <w:r w:rsidRPr="007A4951">
        <w:rPr>
          <w:sz w:val="24"/>
          <w:szCs w:val="24"/>
          <w:lang w:val="en-GB"/>
        </w:rPr>
        <w:t xml:space="preserve"> under the legal framework pr</w:t>
      </w:r>
      <w:r>
        <w:rPr>
          <w:sz w:val="24"/>
          <w:szCs w:val="24"/>
          <w:lang w:val="en-GB"/>
        </w:rPr>
        <w:t>ior</w:t>
      </w:r>
      <w:r w:rsidRPr="007A4951">
        <w:rPr>
          <w:sz w:val="24"/>
          <w:szCs w:val="24"/>
          <w:lang w:val="en-GB"/>
        </w:rPr>
        <w:t xml:space="preserve"> to the coming into force of Directive (</w:t>
      </w:r>
      <w:r>
        <w:rPr>
          <w:sz w:val="24"/>
          <w:szCs w:val="24"/>
          <w:lang w:val="en-GB"/>
        </w:rPr>
        <w:t>EU</w:t>
      </w:r>
      <w:r w:rsidRPr="007A4951">
        <w:rPr>
          <w:sz w:val="24"/>
          <w:szCs w:val="24"/>
          <w:lang w:val="en-GB"/>
        </w:rPr>
        <w:t>) 2019/790</w:t>
      </w:r>
      <w:r w:rsidRPr="00825D34">
        <w:rPr>
          <w:sz w:val="24"/>
          <w:szCs w:val="24"/>
          <w:lang w:val="en-GB"/>
        </w:rPr>
        <w:t xml:space="preserve">. </w:t>
      </w:r>
      <w:r>
        <w:rPr>
          <w:sz w:val="24"/>
          <w:szCs w:val="24"/>
          <w:lang w:val="en-GB"/>
        </w:rPr>
        <w:t xml:space="preserve">This will be followed by </w:t>
      </w:r>
      <w:r w:rsidRPr="00825D34">
        <w:rPr>
          <w:sz w:val="24"/>
          <w:szCs w:val="24"/>
          <w:lang w:val="en-GB"/>
        </w:rPr>
        <w:t>a description of the new exceptions for text and data mining introduced by the above</w:t>
      </w:r>
      <w:r>
        <w:rPr>
          <w:sz w:val="24"/>
          <w:szCs w:val="24"/>
          <w:lang w:val="en-GB"/>
        </w:rPr>
        <w:t>-</w:t>
      </w:r>
      <w:r w:rsidRPr="00825D34">
        <w:rPr>
          <w:sz w:val="24"/>
          <w:szCs w:val="24"/>
          <w:lang w:val="en-GB"/>
        </w:rPr>
        <w:t xml:space="preserve">mentioned Directive, evaluating the positive and negative aspects, and assessing whether these new provisions will </w:t>
      </w:r>
      <w:r>
        <w:rPr>
          <w:sz w:val="24"/>
          <w:szCs w:val="24"/>
          <w:lang w:val="en-GB"/>
        </w:rPr>
        <w:t xml:space="preserve">prove to be </w:t>
      </w:r>
      <w:r w:rsidRPr="00825D34">
        <w:rPr>
          <w:sz w:val="24"/>
          <w:szCs w:val="24"/>
          <w:lang w:val="en-GB"/>
        </w:rPr>
        <w:t xml:space="preserve">a balanced </w:t>
      </w:r>
      <w:r>
        <w:rPr>
          <w:sz w:val="24"/>
          <w:szCs w:val="24"/>
          <w:lang w:val="en-GB"/>
        </w:rPr>
        <w:t>solution</w:t>
      </w:r>
      <w:r w:rsidRPr="00825D34">
        <w:rPr>
          <w:sz w:val="24"/>
          <w:szCs w:val="24"/>
          <w:lang w:val="en-GB"/>
        </w:rPr>
        <w:t xml:space="preserve"> for access</w:t>
      </w:r>
      <w:r>
        <w:rPr>
          <w:sz w:val="24"/>
          <w:szCs w:val="24"/>
          <w:lang w:val="en-GB"/>
        </w:rPr>
        <w:t xml:space="preserve"> to </w:t>
      </w:r>
      <w:r w:rsidRPr="00825D34">
        <w:rPr>
          <w:sz w:val="24"/>
          <w:szCs w:val="24"/>
          <w:lang w:val="en-GB"/>
        </w:rPr>
        <w:t>and analysis of data.</w:t>
      </w:r>
      <w:r w:rsidRPr="007A4951">
        <w:rPr>
          <w:sz w:val="24"/>
          <w:szCs w:val="24"/>
          <w:lang w:val="en-GB"/>
        </w:rPr>
        <w:t xml:space="preserve">  </w:t>
      </w:r>
    </w:p>
    <w:p w14:paraId="65C2D210" w14:textId="77777777" w:rsidR="00651F9B" w:rsidRDefault="00651F9B" w:rsidP="00651F9B">
      <w:pPr>
        <w:jc w:val="center"/>
        <w:rPr>
          <w:b/>
          <w:bCs/>
          <w:lang w:val="en-GB"/>
        </w:rPr>
      </w:pPr>
    </w:p>
    <w:p w14:paraId="7E01AE70" w14:textId="77777777" w:rsidR="00651F9B" w:rsidRPr="00AA7516" w:rsidRDefault="00651F9B" w:rsidP="00651F9B">
      <w:pPr>
        <w:jc w:val="center"/>
        <w:rPr>
          <w:b/>
          <w:bCs/>
          <w:sz w:val="28"/>
          <w:szCs w:val="28"/>
          <w:lang w:val="en-GB"/>
        </w:rPr>
      </w:pPr>
      <w:r w:rsidRPr="00AA7516">
        <w:rPr>
          <w:b/>
          <w:bCs/>
          <w:sz w:val="28"/>
          <w:szCs w:val="28"/>
          <w:lang w:val="en-GB"/>
        </w:rPr>
        <w:t>Table of contents</w:t>
      </w:r>
    </w:p>
    <w:p w14:paraId="218DFDD8" w14:textId="77777777" w:rsidR="00651F9B" w:rsidRPr="00042FDD" w:rsidRDefault="00651F9B" w:rsidP="00651F9B">
      <w:pPr>
        <w:pStyle w:val="Paragrafoelenco"/>
        <w:numPr>
          <w:ilvl w:val="0"/>
          <w:numId w:val="1"/>
        </w:numPr>
        <w:jc w:val="both"/>
        <w:rPr>
          <w:lang w:val="en-GB"/>
        </w:rPr>
      </w:pPr>
      <w:r w:rsidRPr="00042FDD">
        <w:rPr>
          <w:lang w:val="en-GB"/>
        </w:rPr>
        <w:t>INTRODUCTION</w:t>
      </w:r>
    </w:p>
    <w:p w14:paraId="5F500462" w14:textId="77777777" w:rsidR="00651F9B" w:rsidRPr="00042FDD" w:rsidRDefault="00651F9B" w:rsidP="00651F9B">
      <w:pPr>
        <w:pStyle w:val="Paragrafoelenco"/>
        <w:numPr>
          <w:ilvl w:val="0"/>
          <w:numId w:val="1"/>
        </w:numPr>
        <w:jc w:val="both"/>
        <w:rPr>
          <w:lang w:val="en-GB"/>
        </w:rPr>
      </w:pPr>
      <w:r w:rsidRPr="00042FDD">
        <w:rPr>
          <w:lang w:val="en-GB"/>
        </w:rPr>
        <w:t>EDMOND DE BELAMY AND OTHERS: CREATIVITY REQUIRES DATA</w:t>
      </w:r>
    </w:p>
    <w:p w14:paraId="1BC5174B" w14:textId="77777777" w:rsidR="00651F9B" w:rsidRDefault="00651F9B" w:rsidP="00651F9B">
      <w:pPr>
        <w:pStyle w:val="Paragrafoelenco"/>
        <w:numPr>
          <w:ilvl w:val="0"/>
          <w:numId w:val="1"/>
        </w:numPr>
        <w:jc w:val="both"/>
        <w:rPr>
          <w:lang w:val="en-GB"/>
        </w:rPr>
      </w:pPr>
      <w:r w:rsidRPr="00042FDD">
        <w:rPr>
          <w:lang w:val="en-GB"/>
        </w:rPr>
        <w:t xml:space="preserve">THE CONFLICT BETWEEN IPRs AND </w:t>
      </w:r>
      <w:r w:rsidRPr="00A62348">
        <w:rPr>
          <w:lang w:val="en-GB"/>
        </w:rPr>
        <w:t>THE TRAINING OF AI</w:t>
      </w:r>
      <w:r>
        <w:rPr>
          <w:lang w:val="en-GB"/>
        </w:rPr>
        <w:t xml:space="preserve"> SYSTEMS</w:t>
      </w:r>
    </w:p>
    <w:p w14:paraId="731B5D1A" w14:textId="77777777" w:rsidR="00651F9B" w:rsidRDefault="00651F9B" w:rsidP="00651F9B">
      <w:pPr>
        <w:pStyle w:val="Paragrafoelenco"/>
        <w:numPr>
          <w:ilvl w:val="0"/>
          <w:numId w:val="1"/>
        </w:numPr>
        <w:jc w:val="both"/>
        <w:rPr>
          <w:lang w:val="en-GB"/>
        </w:rPr>
      </w:pPr>
      <w:r>
        <w:rPr>
          <w:lang w:val="en-GB"/>
        </w:rPr>
        <w:t>THE LEGAL FRAMEWORK BEFORE THE ADVENT OF DIRECTIVE (UE) 2019/790</w:t>
      </w:r>
    </w:p>
    <w:p w14:paraId="7BCFABDF" w14:textId="77777777" w:rsidR="00651F9B" w:rsidRDefault="00651F9B" w:rsidP="00651F9B">
      <w:pPr>
        <w:pStyle w:val="Paragrafoelenco"/>
        <w:numPr>
          <w:ilvl w:val="0"/>
          <w:numId w:val="1"/>
        </w:numPr>
        <w:jc w:val="both"/>
        <w:rPr>
          <w:lang w:val="en-GB"/>
        </w:rPr>
      </w:pPr>
      <w:r>
        <w:rPr>
          <w:lang w:val="en-GB"/>
        </w:rPr>
        <w:t>AN UPDATE TO COPYRIGHT: THE NEW MANDATORY EXCEPTIONS</w:t>
      </w:r>
    </w:p>
    <w:p w14:paraId="69018CE9" w14:textId="77777777" w:rsidR="00651F9B" w:rsidRPr="00BC7C67" w:rsidRDefault="00651F9B" w:rsidP="00651F9B">
      <w:pPr>
        <w:pStyle w:val="Paragrafoelenco"/>
        <w:numPr>
          <w:ilvl w:val="0"/>
          <w:numId w:val="1"/>
        </w:numPr>
        <w:jc w:val="both"/>
        <w:rPr>
          <w:caps/>
          <w:lang w:val="en-GB"/>
        </w:rPr>
      </w:pPr>
      <w:r w:rsidRPr="00BC7C67">
        <w:rPr>
          <w:caps/>
          <w:lang w:val="en-GB"/>
        </w:rPr>
        <w:t>Art. 4 and the new dynamism of the express reservation in the light of access to data</w:t>
      </w:r>
    </w:p>
    <w:p w14:paraId="7B87AD11" w14:textId="77777777" w:rsidR="00651F9B" w:rsidRPr="00BC7C67" w:rsidRDefault="00651F9B" w:rsidP="00651F9B">
      <w:pPr>
        <w:pStyle w:val="Paragrafoelenco"/>
        <w:numPr>
          <w:ilvl w:val="0"/>
          <w:numId w:val="1"/>
        </w:numPr>
        <w:jc w:val="both"/>
        <w:rPr>
          <w:lang w:val="en-GB"/>
        </w:rPr>
      </w:pPr>
      <w:r w:rsidRPr="00BC7C67">
        <w:rPr>
          <w:lang w:val="en-GB"/>
        </w:rPr>
        <w:t>CONCLUSIONS</w:t>
      </w:r>
    </w:p>
    <w:p w14:paraId="1F0770FF" w14:textId="77777777" w:rsidR="00651F9B" w:rsidRPr="00AA7516" w:rsidRDefault="00651F9B" w:rsidP="00651F9B">
      <w:pPr>
        <w:jc w:val="center"/>
        <w:rPr>
          <w:lang w:val="en-GB"/>
        </w:rPr>
      </w:pPr>
    </w:p>
    <w:p w14:paraId="7B869803" w14:textId="77777777" w:rsidR="00651F9B" w:rsidRPr="007A4951" w:rsidRDefault="00651F9B" w:rsidP="00651F9B">
      <w:pPr>
        <w:pStyle w:val="Paragrafoelenco"/>
        <w:numPr>
          <w:ilvl w:val="0"/>
          <w:numId w:val="2"/>
        </w:numPr>
        <w:rPr>
          <w:b/>
          <w:bCs/>
          <w:sz w:val="24"/>
          <w:szCs w:val="24"/>
          <w:lang w:val="en-GB"/>
        </w:rPr>
      </w:pPr>
      <w:r w:rsidRPr="007A4951">
        <w:rPr>
          <w:b/>
          <w:bCs/>
          <w:sz w:val="24"/>
          <w:szCs w:val="24"/>
          <w:lang w:val="en-GB"/>
        </w:rPr>
        <w:t>Introduction</w:t>
      </w:r>
    </w:p>
    <w:p w14:paraId="75829FD3" w14:textId="5D5C7912" w:rsidR="00651F9B" w:rsidRDefault="00651F9B" w:rsidP="00651F9B">
      <w:pPr>
        <w:ind w:firstLine="340"/>
        <w:jc w:val="both"/>
        <w:rPr>
          <w:sz w:val="24"/>
          <w:szCs w:val="24"/>
          <w:lang w:val="en-GB"/>
        </w:rPr>
      </w:pPr>
      <w:r>
        <w:rPr>
          <w:sz w:val="24"/>
          <w:szCs w:val="24"/>
          <w:lang w:val="en-GB"/>
        </w:rPr>
        <w:t xml:space="preserve">The aim of this paper is to investigate the phenomenon of data mining in the context of copyright and database </w:t>
      </w:r>
      <w:r w:rsidRPr="00651F9B">
        <w:rPr>
          <w:i/>
          <w:iCs/>
          <w:sz w:val="24"/>
          <w:szCs w:val="24"/>
          <w:lang w:val="en-GB"/>
        </w:rPr>
        <w:t>sui generis</w:t>
      </w:r>
      <w:r>
        <w:rPr>
          <w:sz w:val="24"/>
          <w:szCs w:val="24"/>
          <w:lang w:val="en-GB"/>
        </w:rPr>
        <w:t xml:space="preserve"> right, analysing the legal framework set by the European Union, especially the provisions contained in Art. 4 of Directive (UE) 2019/790, in the light of the increasing need to access and analyse data. </w:t>
      </w:r>
    </w:p>
    <w:p w14:paraId="2F3A61DB" w14:textId="2072E618" w:rsidR="00651F9B" w:rsidRDefault="00651F9B" w:rsidP="00651F9B">
      <w:pPr>
        <w:ind w:firstLine="340"/>
        <w:jc w:val="both"/>
        <w:rPr>
          <w:sz w:val="24"/>
          <w:szCs w:val="24"/>
          <w:lang w:val="en-GB"/>
        </w:rPr>
      </w:pPr>
      <w:r w:rsidRPr="007A4951">
        <w:rPr>
          <w:sz w:val="24"/>
          <w:szCs w:val="24"/>
          <w:lang w:val="en-GB"/>
        </w:rPr>
        <w:t xml:space="preserve">New technologies and the process of digitization are leading to a data-driven world </w:t>
      </w:r>
      <w:r>
        <w:rPr>
          <w:sz w:val="24"/>
          <w:szCs w:val="24"/>
          <w:lang w:val="en-GB"/>
        </w:rPr>
        <w:t xml:space="preserve">in which </w:t>
      </w:r>
      <w:r w:rsidRPr="007A4951">
        <w:rPr>
          <w:sz w:val="24"/>
          <w:szCs w:val="24"/>
          <w:lang w:val="en-GB"/>
        </w:rPr>
        <w:t>market and society are totally reshaped. Data ha</w:t>
      </w:r>
      <w:r>
        <w:rPr>
          <w:sz w:val="24"/>
          <w:szCs w:val="24"/>
          <w:lang w:val="en-GB"/>
        </w:rPr>
        <w:t>s</w:t>
      </w:r>
      <w:r w:rsidRPr="007A4951">
        <w:rPr>
          <w:sz w:val="24"/>
          <w:szCs w:val="24"/>
          <w:lang w:val="en-GB"/>
        </w:rPr>
        <w:t xml:space="preserve"> become </w:t>
      </w:r>
      <w:r>
        <w:rPr>
          <w:sz w:val="24"/>
          <w:szCs w:val="24"/>
          <w:lang w:val="en-GB"/>
        </w:rPr>
        <w:t xml:space="preserve">central to </w:t>
      </w:r>
      <w:r w:rsidRPr="007A4951">
        <w:rPr>
          <w:sz w:val="24"/>
          <w:szCs w:val="24"/>
          <w:lang w:val="en-GB"/>
        </w:rPr>
        <w:t>this transformation</w:t>
      </w:r>
      <w:r>
        <w:rPr>
          <w:sz w:val="24"/>
          <w:szCs w:val="24"/>
          <w:lang w:val="en-GB"/>
        </w:rPr>
        <w:t xml:space="preserve">, as it is </w:t>
      </w:r>
      <w:r w:rsidRPr="007A4951">
        <w:rPr>
          <w:sz w:val="24"/>
          <w:szCs w:val="24"/>
          <w:lang w:val="en-GB"/>
        </w:rPr>
        <w:t xml:space="preserve">the </w:t>
      </w:r>
      <w:r w:rsidRPr="007A4951">
        <w:rPr>
          <w:sz w:val="24"/>
          <w:szCs w:val="24"/>
          <w:lang w:val="en-GB"/>
        </w:rPr>
        <w:lastRenderedPageBreak/>
        <w:t>“new oil”</w:t>
      </w:r>
      <w:r w:rsidRPr="007A4951">
        <w:rPr>
          <w:rStyle w:val="Rimandonotaapidipagina"/>
          <w:sz w:val="24"/>
          <w:szCs w:val="24"/>
          <w:lang w:val="en-GB"/>
        </w:rPr>
        <w:footnoteReference w:id="1"/>
      </w:r>
      <w:r w:rsidRPr="007A4951">
        <w:rPr>
          <w:sz w:val="24"/>
          <w:szCs w:val="24"/>
          <w:lang w:val="en-GB"/>
        </w:rPr>
        <w:t xml:space="preserve"> and the “lifeblood of economic development”</w:t>
      </w:r>
      <w:r>
        <w:rPr>
          <w:sz w:val="24"/>
          <w:szCs w:val="24"/>
          <w:lang w:val="en-GB"/>
        </w:rPr>
        <w:t>.</w:t>
      </w:r>
      <w:r w:rsidRPr="007A4951">
        <w:rPr>
          <w:rStyle w:val="Rimandonotaapidipagina"/>
          <w:sz w:val="24"/>
          <w:szCs w:val="24"/>
          <w:lang w:val="en-GB"/>
        </w:rPr>
        <w:footnoteReference w:id="2"/>
      </w:r>
      <w:r w:rsidRPr="007A4951">
        <w:rPr>
          <w:sz w:val="24"/>
          <w:szCs w:val="24"/>
          <w:lang w:val="en-GB"/>
        </w:rPr>
        <w:t xml:space="preserve"> The total volume </w:t>
      </w:r>
      <w:r>
        <w:rPr>
          <w:sz w:val="24"/>
          <w:szCs w:val="24"/>
          <w:lang w:val="en-GB"/>
        </w:rPr>
        <w:t xml:space="preserve">of data </w:t>
      </w:r>
      <w:r w:rsidRPr="007A4951">
        <w:rPr>
          <w:sz w:val="24"/>
          <w:szCs w:val="24"/>
          <w:lang w:val="en-GB"/>
        </w:rPr>
        <w:t>is constantly</w:t>
      </w:r>
      <w:r>
        <w:rPr>
          <w:sz w:val="24"/>
          <w:szCs w:val="24"/>
          <w:lang w:val="en-GB"/>
        </w:rPr>
        <w:t xml:space="preserve"> </w:t>
      </w:r>
      <w:r w:rsidRPr="007A4951">
        <w:rPr>
          <w:sz w:val="24"/>
          <w:szCs w:val="24"/>
          <w:lang w:val="en-GB"/>
        </w:rPr>
        <w:t>expa</w:t>
      </w:r>
      <w:r>
        <w:rPr>
          <w:sz w:val="24"/>
          <w:szCs w:val="24"/>
          <w:lang w:val="en-GB"/>
        </w:rPr>
        <w:t>n</w:t>
      </w:r>
      <w:r w:rsidRPr="007A4951">
        <w:rPr>
          <w:sz w:val="24"/>
          <w:szCs w:val="24"/>
          <w:lang w:val="en-GB"/>
        </w:rPr>
        <w:t xml:space="preserve">ding from </w:t>
      </w:r>
      <w:r>
        <w:rPr>
          <w:sz w:val="24"/>
          <w:szCs w:val="24"/>
          <w:lang w:val="en-GB"/>
        </w:rPr>
        <w:t xml:space="preserve">an estimated </w:t>
      </w:r>
      <w:r w:rsidRPr="007A4951">
        <w:rPr>
          <w:sz w:val="24"/>
          <w:szCs w:val="24"/>
          <w:lang w:val="en-GB"/>
        </w:rPr>
        <w:t xml:space="preserve">33 zettabytes in 2018 to </w:t>
      </w:r>
      <w:r>
        <w:rPr>
          <w:sz w:val="24"/>
          <w:szCs w:val="24"/>
          <w:lang w:val="en-GB"/>
        </w:rPr>
        <w:t xml:space="preserve">a </w:t>
      </w:r>
      <w:r w:rsidRPr="007A4951">
        <w:rPr>
          <w:sz w:val="24"/>
          <w:szCs w:val="24"/>
          <w:lang w:val="en-GB"/>
        </w:rPr>
        <w:t>forecast</w:t>
      </w:r>
      <w:r>
        <w:rPr>
          <w:sz w:val="24"/>
          <w:szCs w:val="24"/>
          <w:lang w:val="en-GB"/>
        </w:rPr>
        <w:t xml:space="preserve"> figure </w:t>
      </w:r>
      <w:r w:rsidRPr="007A4951">
        <w:rPr>
          <w:sz w:val="24"/>
          <w:szCs w:val="24"/>
          <w:lang w:val="en-GB"/>
        </w:rPr>
        <w:t>of 175 zettabytes by 2025</w:t>
      </w:r>
      <w:r>
        <w:rPr>
          <w:sz w:val="24"/>
          <w:szCs w:val="24"/>
          <w:lang w:val="en-GB"/>
        </w:rPr>
        <w:t>.</w:t>
      </w:r>
      <w:r w:rsidRPr="007A4951">
        <w:rPr>
          <w:rStyle w:val="Rimandonotaapidipagina"/>
          <w:sz w:val="24"/>
          <w:szCs w:val="24"/>
          <w:lang w:val="en-GB"/>
        </w:rPr>
        <w:footnoteReference w:id="3"/>
      </w:r>
      <w:r w:rsidRPr="007A4951">
        <w:rPr>
          <w:sz w:val="24"/>
          <w:szCs w:val="24"/>
          <w:lang w:val="en-GB"/>
        </w:rPr>
        <w:t xml:space="preserve"> The importance of data and the necessity </w:t>
      </w:r>
      <w:r>
        <w:rPr>
          <w:sz w:val="24"/>
          <w:szCs w:val="24"/>
          <w:lang w:val="en-GB"/>
        </w:rPr>
        <w:t>of developing</w:t>
      </w:r>
      <w:r w:rsidRPr="007A4951">
        <w:rPr>
          <w:sz w:val="24"/>
          <w:szCs w:val="24"/>
          <w:lang w:val="en-GB"/>
        </w:rPr>
        <w:t xml:space="preserve"> a data-driven economy has been stressed many times by the European Union and has been confirmed by recent legislative reforms. One of the </w:t>
      </w:r>
      <w:r>
        <w:rPr>
          <w:sz w:val="24"/>
          <w:szCs w:val="24"/>
          <w:lang w:val="en-GB"/>
        </w:rPr>
        <w:t>best</w:t>
      </w:r>
      <w:r w:rsidRPr="007A4951">
        <w:rPr>
          <w:sz w:val="24"/>
          <w:szCs w:val="24"/>
          <w:lang w:val="en-GB"/>
        </w:rPr>
        <w:t>-known example</w:t>
      </w:r>
      <w:r>
        <w:rPr>
          <w:sz w:val="24"/>
          <w:szCs w:val="24"/>
          <w:lang w:val="en-GB"/>
        </w:rPr>
        <w:t>s</w:t>
      </w:r>
      <w:r w:rsidRPr="007A4951">
        <w:rPr>
          <w:sz w:val="24"/>
          <w:szCs w:val="24"/>
          <w:lang w:val="en-GB"/>
        </w:rPr>
        <w:t xml:space="preserve"> is Regulation (</w:t>
      </w:r>
      <w:r>
        <w:rPr>
          <w:sz w:val="24"/>
          <w:szCs w:val="24"/>
          <w:lang w:val="en-GB"/>
        </w:rPr>
        <w:t>EU</w:t>
      </w:r>
      <w:r w:rsidRPr="007A4951">
        <w:rPr>
          <w:sz w:val="24"/>
          <w:szCs w:val="24"/>
          <w:lang w:val="en-GB"/>
        </w:rPr>
        <w:t xml:space="preserve">) 2016/679 </w:t>
      </w:r>
      <w:r>
        <w:rPr>
          <w:sz w:val="24"/>
          <w:szCs w:val="24"/>
          <w:lang w:val="en-GB"/>
        </w:rPr>
        <w:t>(General Data Protection Regulation, or GDPR,</w:t>
      </w:r>
      <w:r w:rsidRPr="007A4951">
        <w:rPr>
          <w:sz w:val="24"/>
          <w:szCs w:val="24"/>
          <w:lang w:val="en-GB"/>
        </w:rPr>
        <w:t xml:space="preserve"> on the protection of natural persons with regard to the processing of personal data and on the free movement of such data</w:t>
      </w:r>
      <w:r>
        <w:rPr>
          <w:sz w:val="24"/>
          <w:szCs w:val="24"/>
          <w:lang w:val="en-GB"/>
        </w:rPr>
        <w:t xml:space="preserve">), which states that </w:t>
      </w:r>
      <w:r w:rsidRPr="007A4951">
        <w:rPr>
          <w:sz w:val="24"/>
          <w:szCs w:val="24"/>
          <w:lang w:val="en-GB"/>
        </w:rPr>
        <w:t>notwithstanding recognition of the protection of personal data as a fundamental right</w:t>
      </w:r>
      <w:r>
        <w:rPr>
          <w:sz w:val="24"/>
          <w:szCs w:val="24"/>
          <w:lang w:val="en-GB"/>
        </w:rPr>
        <w:t>,</w:t>
      </w:r>
      <w:r w:rsidRPr="007A4951">
        <w:rPr>
          <w:rStyle w:val="Rimandonotaapidipagina"/>
          <w:sz w:val="24"/>
          <w:szCs w:val="24"/>
          <w:lang w:val="en-GB"/>
        </w:rPr>
        <w:footnoteReference w:id="4"/>
      </w:r>
      <w:r w:rsidRPr="007A4951">
        <w:rPr>
          <w:sz w:val="24"/>
          <w:szCs w:val="24"/>
          <w:lang w:val="en-GB"/>
        </w:rPr>
        <w:t xml:space="preserve"> the free movement of personal data </w:t>
      </w:r>
      <w:r>
        <w:rPr>
          <w:sz w:val="24"/>
          <w:szCs w:val="24"/>
          <w:lang w:val="en-GB"/>
        </w:rPr>
        <w:t xml:space="preserve">must </w:t>
      </w:r>
      <w:r w:rsidRPr="007A4951">
        <w:rPr>
          <w:sz w:val="24"/>
          <w:szCs w:val="24"/>
          <w:lang w:val="en-GB"/>
        </w:rPr>
        <w:t>not be restricted</w:t>
      </w:r>
      <w:r>
        <w:rPr>
          <w:sz w:val="24"/>
          <w:szCs w:val="24"/>
          <w:lang w:val="en-GB"/>
        </w:rPr>
        <w:t>.</w:t>
      </w:r>
      <w:r w:rsidRPr="007A4951">
        <w:rPr>
          <w:rStyle w:val="Rimandonotaapidipagina"/>
          <w:sz w:val="24"/>
          <w:szCs w:val="24"/>
          <w:lang w:val="en-GB"/>
        </w:rPr>
        <w:footnoteReference w:id="5"/>
      </w:r>
      <w:r w:rsidRPr="007A4951">
        <w:rPr>
          <w:sz w:val="24"/>
          <w:szCs w:val="24"/>
          <w:lang w:val="en-GB"/>
        </w:rPr>
        <w:t xml:space="preserve"> </w:t>
      </w:r>
      <w:r>
        <w:rPr>
          <w:sz w:val="24"/>
          <w:szCs w:val="24"/>
          <w:lang w:val="en-GB"/>
        </w:rPr>
        <w:t xml:space="preserve">This was followed by </w:t>
      </w:r>
      <w:r w:rsidRPr="007A4951">
        <w:rPr>
          <w:sz w:val="24"/>
          <w:szCs w:val="24"/>
          <w:lang w:val="en-GB"/>
        </w:rPr>
        <w:t>Regulation (</w:t>
      </w:r>
      <w:r>
        <w:rPr>
          <w:sz w:val="24"/>
          <w:szCs w:val="24"/>
          <w:lang w:val="en-GB"/>
        </w:rPr>
        <w:t>EU</w:t>
      </w:r>
      <w:r w:rsidRPr="007A4951">
        <w:rPr>
          <w:sz w:val="24"/>
          <w:szCs w:val="24"/>
          <w:lang w:val="en-GB"/>
        </w:rPr>
        <w:t xml:space="preserve">) 2018/1807 </w:t>
      </w:r>
      <w:r>
        <w:rPr>
          <w:sz w:val="24"/>
          <w:szCs w:val="24"/>
          <w:lang w:val="en-GB"/>
        </w:rPr>
        <w:t>(</w:t>
      </w:r>
      <w:r w:rsidRPr="007A4951">
        <w:rPr>
          <w:sz w:val="24"/>
          <w:szCs w:val="24"/>
          <w:lang w:val="en-GB"/>
        </w:rPr>
        <w:t>on a framework for the free flow of non-personal data</w:t>
      </w:r>
      <w:r>
        <w:rPr>
          <w:sz w:val="24"/>
          <w:szCs w:val="24"/>
          <w:lang w:val="en-GB"/>
        </w:rPr>
        <w:t>)</w:t>
      </w:r>
      <w:r w:rsidRPr="007A4951">
        <w:rPr>
          <w:sz w:val="24"/>
          <w:szCs w:val="24"/>
          <w:lang w:val="en-GB"/>
        </w:rPr>
        <w:t>, which enhanced the so</w:t>
      </w:r>
      <w:r>
        <w:rPr>
          <w:sz w:val="24"/>
          <w:szCs w:val="24"/>
          <w:lang w:val="en-GB"/>
        </w:rPr>
        <w:t>-</w:t>
      </w:r>
      <w:r w:rsidRPr="007A4951">
        <w:rPr>
          <w:sz w:val="24"/>
          <w:szCs w:val="24"/>
          <w:lang w:val="en-GB"/>
        </w:rPr>
        <w:t xml:space="preserve">called fifth freedom as a pre-requisite for a </w:t>
      </w:r>
      <w:r>
        <w:rPr>
          <w:sz w:val="24"/>
          <w:szCs w:val="24"/>
          <w:lang w:val="en-GB"/>
        </w:rPr>
        <w:t>smoothly</w:t>
      </w:r>
      <w:r w:rsidRPr="007A4951">
        <w:rPr>
          <w:sz w:val="24"/>
          <w:szCs w:val="24"/>
          <w:lang w:val="en-GB"/>
        </w:rPr>
        <w:t xml:space="preserve"> functioning and dynamic market</w:t>
      </w:r>
      <w:r>
        <w:rPr>
          <w:sz w:val="24"/>
          <w:szCs w:val="24"/>
          <w:lang w:val="en-GB"/>
        </w:rPr>
        <w:t>.</w:t>
      </w:r>
      <w:r w:rsidRPr="007A4951">
        <w:rPr>
          <w:rStyle w:val="Rimandonotaapidipagina"/>
          <w:sz w:val="24"/>
          <w:szCs w:val="24"/>
          <w:lang w:val="en-GB"/>
        </w:rPr>
        <w:footnoteReference w:id="6"/>
      </w:r>
      <w:r w:rsidRPr="007A4951">
        <w:rPr>
          <w:sz w:val="24"/>
          <w:szCs w:val="24"/>
          <w:lang w:val="en-GB"/>
        </w:rPr>
        <w:t xml:space="preserve"> </w:t>
      </w:r>
      <w:r>
        <w:rPr>
          <w:sz w:val="24"/>
          <w:szCs w:val="24"/>
          <w:lang w:val="en-GB"/>
        </w:rPr>
        <w:t>E</w:t>
      </w:r>
      <w:r w:rsidRPr="007A4951">
        <w:rPr>
          <w:sz w:val="24"/>
          <w:szCs w:val="24"/>
          <w:lang w:val="en-GB"/>
        </w:rPr>
        <w:t>xtended access to data is a key factor</w:t>
      </w:r>
      <w:r w:rsidRPr="00B5248B">
        <w:rPr>
          <w:sz w:val="24"/>
          <w:szCs w:val="24"/>
          <w:lang w:val="en-GB"/>
        </w:rPr>
        <w:t xml:space="preserve"> </w:t>
      </w:r>
      <w:r>
        <w:rPr>
          <w:sz w:val="24"/>
          <w:szCs w:val="24"/>
          <w:lang w:val="en-GB"/>
        </w:rPr>
        <w:t>i</w:t>
      </w:r>
      <w:r w:rsidRPr="007A4951">
        <w:rPr>
          <w:sz w:val="24"/>
          <w:szCs w:val="24"/>
          <w:lang w:val="en-GB"/>
        </w:rPr>
        <w:t xml:space="preserve">n this context. However, the availability of data is </w:t>
      </w:r>
      <w:r>
        <w:rPr>
          <w:sz w:val="24"/>
          <w:szCs w:val="24"/>
          <w:lang w:val="en-GB"/>
        </w:rPr>
        <w:t>fruitless</w:t>
      </w:r>
      <w:r w:rsidRPr="007A4951">
        <w:rPr>
          <w:sz w:val="24"/>
          <w:szCs w:val="24"/>
          <w:lang w:val="en-GB"/>
        </w:rPr>
        <w:t xml:space="preserve"> without the contextual possibility </w:t>
      </w:r>
      <w:r>
        <w:rPr>
          <w:sz w:val="24"/>
          <w:szCs w:val="24"/>
          <w:lang w:val="en-GB"/>
        </w:rPr>
        <w:t>of analysing it</w:t>
      </w:r>
      <w:r w:rsidRPr="007A4951">
        <w:rPr>
          <w:sz w:val="24"/>
          <w:szCs w:val="24"/>
          <w:lang w:val="en-GB"/>
        </w:rPr>
        <w:t xml:space="preserve"> </w:t>
      </w:r>
      <w:proofErr w:type="gramStart"/>
      <w:r w:rsidRPr="007A4951">
        <w:rPr>
          <w:sz w:val="24"/>
          <w:szCs w:val="24"/>
          <w:lang w:val="en-GB"/>
        </w:rPr>
        <w:t>in order to</w:t>
      </w:r>
      <w:proofErr w:type="gramEnd"/>
      <w:r w:rsidRPr="007A4951">
        <w:rPr>
          <w:sz w:val="24"/>
          <w:szCs w:val="24"/>
          <w:lang w:val="en-GB"/>
        </w:rPr>
        <w:t xml:space="preserve"> extract </w:t>
      </w:r>
      <w:r>
        <w:rPr>
          <w:sz w:val="24"/>
          <w:szCs w:val="24"/>
          <w:lang w:val="en-GB"/>
        </w:rPr>
        <w:t>its</w:t>
      </w:r>
      <w:r w:rsidRPr="007A4951">
        <w:rPr>
          <w:sz w:val="24"/>
          <w:szCs w:val="24"/>
          <w:lang w:val="en-GB"/>
        </w:rPr>
        <w:t xml:space="preserve"> maximum value</w:t>
      </w:r>
      <w:r>
        <w:rPr>
          <w:sz w:val="24"/>
          <w:szCs w:val="24"/>
          <w:lang w:val="en-GB"/>
        </w:rPr>
        <w:t>.</w:t>
      </w:r>
      <w:r w:rsidRPr="007A4951">
        <w:rPr>
          <w:rStyle w:val="Rimandonotaapidipagina"/>
          <w:sz w:val="24"/>
          <w:szCs w:val="24"/>
          <w:lang w:val="en-GB"/>
        </w:rPr>
        <w:footnoteReference w:id="7"/>
      </w:r>
      <w:r w:rsidRPr="007A4951">
        <w:rPr>
          <w:sz w:val="24"/>
          <w:szCs w:val="24"/>
          <w:lang w:val="en-GB"/>
        </w:rPr>
        <w:t xml:space="preserve"> </w:t>
      </w:r>
    </w:p>
    <w:p w14:paraId="6DC8E04E" w14:textId="77777777" w:rsidR="00651F9B" w:rsidRDefault="00651F9B" w:rsidP="00651F9B">
      <w:pPr>
        <w:ind w:firstLine="340"/>
        <w:jc w:val="both"/>
        <w:rPr>
          <w:sz w:val="24"/>
          <w:szCs w:val="24"/>
          <w:lang w:val="en-GB"/>
        </w:rPr>
      </w:pPr>
      <w:r>
        <w:rPr>
          <w:sz w:val="24"/>
          <w:szCs w:val="24"/>
          <w:lang w:val="en-GB"/>
        </w:rPr>
        <w:t>Oil is only valuable if you can burn it. Similarly, d</w:t>
      </w:r>
      <w:r w:rsidRPr="007A4951">
        <w:rPr>
          <w:sz w:val="24"/>
          <w:szCs w:val="24"/>
          <w:lang w:val="en-GB"/>
        </w:rPr>
        <w:t>ata</w:t>
      </w:r>
      <w:r>
        <w:rPr>
          <w:sz w:val="24"/>
          <w:szCs w:val="24"/>
          <w:lang w:val="en-GB"/>
        </w:rPr>
        <w:t xml:space="preserve">, as </w:t>
      </w:r>
      <w:r w:rsidRPr="007A4951">
        <w:rPr>
          <w:sz w:val="24"/>
          <w:szCs w:val="24"/>
          <w:lang w:val="en-GB"/>
        </w:rPr>
        <w:t>the new oil</w:t>
      </w:r>
      <w:r>
        <w:rPr>
          <w:sz w:val="24"/>
          <w:szCs w:val="24"/>
          <w:lang w:val="en-GB"/>
        </w:rPr>
        <w:t xml:space="preserve">, needs to be analysed </w:t>
      </w:r>
      <w:proofErr w:type="gramStart"/>
      <w:r>
        <w:rPr>
          <w:sz w:val="24"/>
          <w:szCs w:val="24"/>
          <w:lang w:val="en-GB"/>
        </w:rPr>
        <w:t>in order to</w:t>
      </w:r>
      <w:proofErr w:type="gramEnd"/>
      <w:r>
        <w:rPr>
          <w:sz w:val="24"/>
          <w:szCs w:val="24"/>
          <w:lang w:val="en-GB"/>
        </w:rPr>
        <w:t xml:space="preserve"> create </w:t>
      </w:r>
      <w:r w:rsidRPr="007A4951">
        <w:rPr>
          <w:sz w:val="24"/>
          <w:szCs w:val="24"/>
          <w:lang w:val="en-GB"/>
        </w:rPr>
        <w:t xml:space="preserve">knowledge and innovation. Nowadays, </w:t>
      </w:r>
      <w:r>
        <w:rPr>
          <w:sz w:val="24"/>
          <w:szCs w:val="24"/>
          <w:lang w:val="en-GB"/>
        </w:rPr>
        <w:t xml:space="preserve">there are </w:t>
      </w:r>
      <w:r w:rsidRPr="007A4951">
        <w:rPr>
          <w:sz w:val="24"/>
          <w:szCs w:val="24"/>
          <w:lang w:val="en-GB"/>
        </w:rPr>
        <w:t xml:space="preserve">many technologies </w:t>
      </w:r>
      <w:r>
        <w:rPr>
          <w:sz w:val="24"/>
          <w:szCs w:val="24"/>
          <w:lang w:val="en-GB"/>
        </w:rPr>
        <w:t xml:space="preserve">that can perform </w:t>
      </w:r>
      <w:r w:rsidRPr="007A4951">
        <w:rPr>
          <w:sz w:val="24"/>
          <w:szCs w:val="24"/>
          <w:lang w:val="en-GB"/>
        </w:rPr>
        <w:t xml:space="preserve">automated computational analysis of digital content, </w:t>
      </w:r>
      <w:r>
        <w:rPr>
          <w:sz w:val="24"/>
          <w:szCs w:val="24"/>
          <w:lang w:val="en-GB"/>
        </w:rPr>
        <w:t xml:space="preserve">whether it be </w:t>
      </w:r>
      <w:r w:rsidRPr="007A4951">
        <w:rPr>
          <w:sz w:val="24"/>
          <w:szCs w:val="24"/>
          <w:lang w:val="en-GB"/>
        </w:rPr>
        <w:t xml:space="preserve">text, sounds, images or, more generally, data. These techniques are generally known as text and data mining and consist </w:t>
      </w:r>
      <w:r>
        <w:rPr>
          <w:sz w:val="24"/>
          <w:szCs w:val="24"/>
          <w:lang w:val="en-GB"/>
        </w:rPr>
        <w:t>in</w:t>
      </w:r>
      <w:r w:rsidRPr="007A4951">
        <w:rPr>
          <w:sz w:val="24"/>
          <w:szCs w:val="24"/>
          <w:lang w:val="en-GB"/>
        </w:rPr>
        <w:t xml:space="preserve"> processing large amounts of information </w:t>
      </w:r>
      <w:proofErr w:type="gramStart"/>
      <w:r>
        <w:rPr>
          <w:sz w:val="24"/>
          <w:szCs w:val="24"/>
          <w:lang w:val="en-GB"/>
        </w:rPr>
        <w:t xml:space="preserve">in order </w:t>
      </w:r>
      <w:r w:rsidRPr="007A4951">
        <w:rPr>
          <w:sz w:val="24"/>
          <w:szCs w:val="24"/>
          <w:lang w:val="en-GB"/>
        </w:rPr>
        <w:t>to</w:t>
      </w:r>
      <w:proofErr w:type="gramEnd"/>
      <w:r w:rsidRPr="007A4951">
        <w:rPr>
          <w:sz w:val="24"/>
          <w:szCs w:val="24"/>
          <w:lang w:val="en-GB"/>
        </w:rPr>
        <w:t xml:space="preserve"> gain new knowledge and discover new patterns and trends. Such capacity </w:t>
      </w:r>
      <w:r>
        <w:rPr>
          <w:sz w:val="24"/>
          <w:szCs w:val="24"/>
          <w:lang w:val="en-GB"/>
        </w:rPr>
        <w:t>for</w:t>
      </w:r>
      <w:r w:rsidRPr="007A4951">
        <w:rPr>
          <w:sz w:val="24"/>
          <w:szCs w:val="24"/>
          <w:lang w:val="en-GB"/>
        </w:rPr>
        <w:t xml:space="preserve"> processing data is particularly evident in artificial intelligence </w:t>
      </w:r>
      <w:r>
        <w:rPr>
          <w:sz w:val="24"/>
          <w:szCs w:val="24"/>
          <w:lang w:val="en-GB"/>
        </w:rPr>
        <w:t xml:space="preserve">(AI) </w:t>
      </w:r>
      <w:r w:rsidRPr="007A4951">
        <w:rPr>
          <w:sz w:val="24"/>
          <w:szCs w:val="24"/>
          <w:lang w:val="en-GB"/>
        </w:rPr>
        <w:t>systems</w:t>
      </w:r>
      <w:r w:rsidRPr="007A4951">
        <w:rPr>
          <w:rStyle w:val="Rimandonotaapidipagina"/>
          <w:sz w:val="24"/>
          <w:szCs w:val="24"/>
          <w:lang w:val="en-GB"/>
        </w:rPr>
        <w:footnoteReference w:id="8"/>
      </w:r>
      <w:r w:rsidRPr="007A4951">
        <w:rPr>
          <w:sz w:val="24"/>
          <w:szCs w:val="24"/>
          <w:lang w:val="en-GB"/>
        </w:rPr>
        <w:t xml:space="preserve"> and especially in machine</w:t>
      </w:r>
      <w:r>
        <w:rPr>
          <w:sz w:val="24"/>
          <w:szCs w:val="24"/>
          <w:lang w:val="en-GB"/>
        </w:rPr>
        <w:t>-</w:t>
      </w:r>
      <w:r w:rsidRPr="007A4951">
        <w:rPr>
          <w:sz w:val="24"/>
          <w:szCs w:val="24"/>
          <w:lang w:val="en-GB"/>
        </w:rPr>
        <w:t xml:space="preserve">learning techniques </w:t>
      </w:r>
      <w:r>
        <w:rPr>
          <w:sz w:val="24"/>
          <w:szCs w:val="24"/>
          <w:lang w:val="en-GB"/>
        </w:rPr>
        <w:t>whereby</w:t>
      </w:r>
      <w:r w:rsidRPr="007A4951">
        <w:rPr>
          <w:sz w:val="24"/>
          <w:szCs w:val="24"/>
          <w:lang w:val="en-GB"/>
        </w:rPr>
        <w:t xml:space="preserve"> “algorithms are trained to infer </w:t>
      </w:r>
      <w:r w:rsidRPr="007A4951">
        <w:rPr>
          <w:sz w:val="24"/>
          <w:szCs w:val="24"/>
          <w:lang w:val="en-GB"/>
        </w:rPr>
        <w:lastRenderedPageBreak/>
        <w:t>certain patterns based on a set of data in order to determine the actions needed to achieve a given goal”</w:t>
      </w:r>
      <w:r>
        <w:rPr>
          <w:sz w:val="24"/>
          <w:szCs w:val="24"/>
          <w:lang w:val="en-GB"/>
        </w:rPr>
        <w:t>.</w:t>
      </w:r>
      <w:r w:rsidRPr="007A4951">
        <w:rPr>
          <w:rStyle w:val="Rimandonotaapidipagina"/>
          <w:sz w:val="24"/>
          <w:szCs w:val="24"/>
          <w:lang w:val="en-GB"/>
        </w:rPr>
        <w:footnoteReference w:id="9"/>
      </w:r>
      <w:r w:rsidRPr="007A4951">
        <w:rPr>
          <w:sz w:val="24"/>
          <w:szCs w:val="24"/>
          <w:lang w:val="en-GB"/>
        </w:rPr>
        <w:t xml:space="preserve"> </w:t>
      </w:r>
    </w:p>
    <w:p w14:paraId="4E51F0B1" w14:textId="71BC64A0" w:rsidR="00651F9B" w:rsidRPr="007A4951" w:rsidRDefault="00651F9B" w:rsidP="00651F9B">
      <w:pPr>
        <w:ind w:firstLine="340"/>
        <w:jc w:val="both"/>
        <w:rPr>
          <w:sz w:val="24"/>
          <w:szCs w:val="24"/>
          <w:lang w:val="en-GB"/>
        </w:rPr>
      </w:pPr>
      <w:r>
        <w:rPr>
          <w:sz w:val="24"/>
          <w:szCs w:val="24"/>
          <w:lang w:val="en-GB"/>
        </w:rPr>
        <w:t>These</w:t>
      </w:r>
      <w:r w:rsidRPr="007A4951">
        <w:rPr>
          <w:sz w:val="24"/>
          <w:szCs w:val="24"/>
          <w:lang w:val="en-GB"/>
        </w:rPr>
        <w:t xml:space="preserve"> technologies are having a positive impact </w:t>
      </w:r>
      <w:r>
        <w:rPr>
          <w:sz w:val="24"/>
          <w:szCs w:val="24"/>
          <w:lang w:val="en-GB"/>
        </w:rPr>
        <w:t>on</w:t>
      </w:r>
      <w:r w:rsidRPr="007A4951">
        <w:rPr>
          <w:sz w:val="24"/>
          <w:szCs w:val="24"/>
          <w:lang w:val="en-GB"/>
        </w:rPr>
        <w:t xml:space="preserve"> our society and can be use</w:t>
      </w:r>
      <w:r>
        <w:rPr>
          <w:sz w:val="24"/>
          <w:szCs w:val="24"/>
          <w:lang w:val="en-GB"/>
        </w:rPr>
        <w:t>ful</w:t>
      </w:r>
      <w:r w:rsidRPr="007A4951">
        <w:rPr>
          <w:sz w:val="24"/>
          <w:szCs w:val="24"/>
          <w:lang w:val="en-GB"/>
        </w:rPr>
        <w:t xml:space="preserve"> in many fields. Despite the benefit</w:t>
      </w:r>
      <w:r>
        <w:rPr>
          <w:sz w:val="24"/>
          <w:szCs w:val="24"/>
          <w:lang w:val="en-GB"/>
        </w:rPr>
        <w:t>s</w:t>
      </w:r>
      <w:r w:rsidRPr="007A4951">
        <w:rPr>
          <w:sz w:val="24"/>
          <w:szCs w:val="24"/>
          <w:lang w:val="en-GB"/>
        </w:rPr>
        <w:t xml:space="preserve"> they </w:t>
      </w:r>
      <w:r>
        <w:rPr>
          <w:sz w:val="24"/>
          <w:szCs w:val="24"/>
          <w:lang w:val="en-GB"/>
        </w:rPr>
        <w:t>bring</w:t>
      </w:r>
      <w:r w:rsidRPr="007A4951">
        <w:rPr>
          <w:sz w:val="24"/>
          <w:szCs w:val="24"/>
          <w:lang w:val="en-GB"/>
        </w:rPr>
        <w:t xml:space="preserve">, the activities </w:t>
      </w:r>
      <w:r>
        <w:rPr>
          <w:sz w:val="24"/>
          <w:szCs w:val="24"/>
          <w:lang w:val="en-GB"/>
        </w:rPr>
        <w:t xml:space="preserve">performed </w:t>
      </w:r>
      <w:r w:rsidRPr="007A4951">
        <w:rPr>
          <w:sz w:val="24"/>
          <w:szCs w:val="24"/>
          <w:lang w:val="en-GB"/>
        </w:rPr>
        <w:t>by AI may lead to infringement</w:t>
      </w:r>
      <w:r>
        <w:rPr>
          <w:sz w:val="24"/>
          <w:szCs w:val="24"/>
          <w:lang w:val="en-GB"/>
        </w:rPr>
        <w:t>s</w:t>
      </w:r>
      <w:r w:rsidRPr="007A4951">
        <w:rPr>
          <w:sz w:val="24"/>
          <w:szCs w:val="24"/>
          <w:lang w:val="en-GB"/>
        </w:rPr>
        <w:t xml:space="preserve"> of the exclusive rights granted to </w:t>
      </w:r>
      <w:r>
        <w:rPr>
          <w:sz w:val="24"/>
          <w:szCs w:val="24"/>
          <w:lang w:val="en-GB"/>
        </w:rPr>
        <w:t>intellectual property right (</w:t>
      </w:r>
      <w:r w:rsidRPr="007A4951">
        <w:rPr>
          <w:sz w:val="24"/>
          <w:szCs w:val="24"/>
          <w:lang w:val="en-GB"/>
        </w:rPr>
        <w:t>IPR</w:t>
      </w:r>
      <w:r>
        <w:rPr>
          <w:sz w:val="24"/>
          <w:szCs w:val="24"/>
          <w:lang w:val="en-GB"/>
        </w:rPr>
        <w:t>)</w:t>
      </w:r>
      <w:r w:rsidRPr="007A4951">
        <w:rPr>
          <w:sz w:val="24"/>
          <w:szCs w:val="24"/>
          <w:lang w:val="en-GB"/>
        </w:rPr>
        <w:t xml:space="preserve"> owners. The following </w:t>
      </w:r>
      <w:r>
        <w:rPr>
          <w:sz w:val="24"/>
          <w:szCs w:val="24"/>
          <w:lang w:val="en-GB"/>
        </w:rPr>
        <w:t>section</w:t>
      </w:r>
      <w:r w:rsidRPr="007A4951">
        <w:rPr>
          <w:sz w:val="24"/>
          <w:szCs w:val="24"/>
          <w:lang w:val="en-GB"/>
        </w:rPr>
        <w:t xml:space="preserve"> will describe a practical case </w:t>
      </w:r>
      <w:r>
        <w:rPr>
          <w:sz w:val="24"/>
          <w:szCs w:val="24"/>
          <w:lang w:val="en-GB"/>
        </w:rPr>
        <w:t xml:space="preserve">illustrating </w:t>
      </w:r>
      <w:r w:rsidRPr="007A4951">
        <w:rPr>
          <w:sz w:val="24"/>
          <w:szCs w:val="24"/>
          <w:lang w:val="en-GB"/>
        </w:rPr>
        <w:t xml:space="preserve">the interplay </w:t>
      </w:r>
      <w:r>
        <w:rPr>
          <w:sz w:val="24"/>
          <w:szCs w:val="24"/>
          <w:lang w:val="en-GB"/>
        </w:rPr>
        <w:t xml:space="preserve">between </w:t>
      </w:r>
      <w:r w:rsidRPr="007A4951">
        <w:rPr>
          <w:sz w:val="24"/>
          <w:szCs w:val="24"/>
          <w:lang w:val="en-GB"/>
        </w:rPr>
        <w:t xml:space="preserve">the training of an AI </w:t>
      </w:r>
      <w:r>
        <w:rPr>
          <w:sz w:val="24"/>
          <w:szCs w:val="24"/>
          <w:lang w:val="en-GB"/>
        </w:rPr>
        <w:t>system and existing</w:t>
      </w:r>
      <w:r w:rsidRPr="007A4951">
        <w:rPr>
          <w:sz w:val="24"/>
          <w:szCs w:val="24"/>
          <w:lang w:val="en-GB"/>
        </w:rPr>
        <w:t xml:space="preserve"> legal restrictions. The</w:t>
      </w:r>
      <w:r>
        <w:rPr>
          <w:sz w:val="24"/>
          <w:szCs w:val="24"/>
          <w:lang w:val="en-GB"/>
        </w:rPr>
        <w:t xml:space="preserve"> </w:t>
      </w:r>
      <w:r w:rsidRPr="007A4951">
        <w:rPr>
          <w:sz w:val="24"/>
          <w:szCs w:val="24"/>
          <w:lang w:val="en-GB"/>
        </w:rPr>
        <w:t xml:space="preserve">paper will </w:t>
      </w:r>
      <w:r>
        <w:rPr>
          <w:sz w:val="24"/>
          <w:szCs w:val="24"/>
          <w:lang w:val="en-GB"/>
        </w:rPr>
        <w:t xml:space="preserve">then </w:t>
      </w:r>
      <w:r w:rsidRPr="007A4951">
        <w:rPr>
          <w:sz w:val="24"/>
          <w:szCs w:val="24"/>
          <w:lang w:val="en-GB"/>
        </w:rPr>
        <w:t>identify the copyright-related issues</w:t>
      </w:r>
      <w:r>
        <w:rPr>
          <w:sz w:val="24"/>
          <w:szCs w:val="24"/>
          <w:lang w:val="en-GB"/>
        </w:rPr>
        <w:t xml:space="preserve"> that arise</w:t>
      </w:r>
      <w:r w:rsidRPr="007A4951">
        <w:rPr>
          <w:sz w:val="24"/>
          <w:szCs w:val="24"/>
          <w:lang w:val="en-GB"/>
        </w:rPr>
        <w:t xml:space="preserve">, </w:t>
      </w:r>
      <w:r>
        <w:rPr>
          <w:sz w:val="24"/>
          <w:szCs w:val="24"/>
          <w:lang w:val="en-GB"/>
        </w:rPr>
        <w:t xml:space="preserve">and review </w:t>
      </w:r>
      <w:r w:rsidRPr="007A4951">
        <w:rPr>
          <w:sz w:val="24"/>
          <w:szCs w:val="24"/>
          <w:lang w:val="en-GB"/>
        </w:rPr>
        <w:t xml:space="preserve">the possible solutions </w:t>
      </w:r>
      <w:r>
        <w:rPr>
          <w:sz w:val="24"/>
          <w:szCs w:val="24"/>
          <w:lang w:val="en-GB"/>
        </w:rPr>
        <w:t xml:space="preserve">provided by </w:t>
      </w:r>
      <w:r w:rsidRPr="007A4951">
        <w:rPr>
          <w:sz w:val="24"/>
          <w:szCs w:val="24"/>
          <w:lang w:val="en-GB"/>
        </w:rPr>
        <w:t>the legal framework pri</w:t>
      </w:r>
      <w:r>
        <w:rPr>
          <w:sz w:val="24"/>
          <w:szCs w:val="24"/>
          <w:lang w:val="en-GB"/>
        </w:rPr>
        <w:t>or</w:t>
      </w:r>
      <w:r w:rsidRPr="007A4951">
        <w:rPr>
          <w:sz w:val="24"/>
          <w:szCs w:val="24"/>
          <w:lang w:val="en-GB"/>
        </w:rPr>
        <w:t xml:space="preserve"> to the advent of Directive 2019/790</w:t>
      </w:r>
      <w:r>
        <w:rPr>
          <w:sz w:val="24"/>
          <w:szCs w:val="24"/>
          <w:lang w:val="en-GB"/>
        </w:rPr>
        <w:t xml:space="preserve"> </w:t>
      </w:r>
      <w:r w:rsidRPr="006D0B27">
        <w:rPr>
          <w:sz w:val="24"/>
          <w:szCs w:val="24"/>
          <w:lang w:val="en-GB"/>
        </w:rPr>
        <w:t>on copyright and</w:t>
      </w:r>
      <w:r>
        <w:rPr>
          <w:sz w:val="24"/>
          <w:szCs w:val="24"/>
          <w:lang w:val="en-GB"/>
        </w:rPr>
        <w:t>,</w:t>
      </w:r>
      <w:r w:rsidRPr="006D0B27">
        <w:rPr>
          <w:sz w:val="24"/>
          <w:szCs w:val="24"/>
          <w:lang w:val="en-GB"/>
        </w:rPr>
        <w:t xml:space="preserve"> </w:t>
      </w:r>
      <w:r>
        <w:rPr>
          <w:sz w:val="24"/>
          <w:szCs w:val="24"/>
          <w:lang w:val="en-GB"/>
        </w:rPr>
        <w:t xml:space="preserve">subsequently, by </w:t>
      </w:r>
      <w:r w:rsidRPr="006D0B27">
        <w:rPr>
          <w:sz w:val="24"/>
          <w:szCs w:val="24"/>
          <w:lang w:val="en-GB"/>
        </w:rPr>
        <w:t>the Digital Single Market</w:t>
      </w:r>
      <w:r>
        <w:rPr>
          <w:sz w:val="24"/>
          <w:szCs w:val="24"/>
          <w:lang w:val="en-GB"/>
        </w:rPr>
        <w:t xml:space="preserve"> (DSM) Directive</w:t>
      </w:r>
      <w:r w:rsidRPr="007A4951">
        <w:rPr>
          <w:sz w:val="24"/>
          <w:szCs w:val="24"/>
          <w:lang w:val="en-GB"/>
        </w:rPr>
        <w:t xml:space="preserve">. Finally, it will analyse the new mandatory exceptions </w:t>
      </w:r>
      <w:r>
        <w:rPr>
          <w:sz w:val="24"/>
          <w:szCs w:val="24"/>
          <w:lang w:val="en-GB"/>
        </w:rPr>
        <w:t xml:space="preserve">for </w:t>
      </w:r>
      <w:r w:rsidRPr="007A4951">
        <w:rPr>
          <w:sz w:val="24"/>
          <w:szCs w:val="24"/>
          <w:lang w:val="en-GB"/>
        </w:rPr>
        <w:t xml:space="preserve">text and data mining (TDM) introduced by the </w:t>
      </w:r>
      <w:r>
        <w:rPr>
          <w:sz w:val="24"/>
          <w:szCs w:val="24"/>
          <w:lang w:val="en-GB"/>
        </w:rPr>
        <w:t>DSM</w:t>
      </w:r>
      <w:r w:rsidRPr="007A4951">
        <w:rPr>
          <w:sz w:val="24"/>
          <w:szCs w:val="24"/>
          <w:lang w:val="en-GB"/>
        </w:rPr>
        <w:t xml:space="preserve"> Directive, </w:t>
      </w:r>
      <w:r>
        <w:rPr>
          <w:sz w:val="24"/>
          <w:szCs w:val="24"/>
          <w:lang w:val="en-GB"/>
        </w:rPr>
        <w:t>and attempt</w:t>
      </w:r>
      <w:r w:rsidRPr="007A4951">
        <w:rPr>
          <w:sz w:val="24"/>
          <w:szCs w:val="24"/>
          <w:lang w:val="en-GB"/>
        </w:rPr>
        <w:t xml:space="preserve"> to assess whether the solutions </w:t>
      </w:r>
      <w:r>
        <w:rPr>
          <w:sz w:val="24"/>
          <w:szCs w:val="24"/>
          <w:lang w:val="en-GB"/>
        </w:rPr>
        <w:t>provided</w:t>
      </w:r>
      <w:r w:rsidRPr="007A4951">
        <w:rPr>
          <w:sz w:val="24"/>
          <w:szCs w:val="24"/>
          <w:lang w:val="en-GB"/>
        </w:rPr>
        <w:t xml:space="preserve"> will </w:t>
      </w:r>
      <w:r>
        <w:rPr>
          <w:sz w:val="24"/>
          <w:szCs w:val="24"/>
          <w:lang w:val="en-GB"/>
        </w:rPr>
        <w:t>support or hinder the need to allow</w:t>
      </w:r>
      <w:r w:rsidRPr="007A4951">
        <w:rPr>
          <w:sz w:val="24"/>
          <w:szCs w:val="24"/>
          <w:lang w:val="en-GB"/>
        </w:rPr>
        <w:t xml:space="preserve"> access to data and develop AI. </w:t>
      </w:r>
    </w:p>
    <w:p w14:paraId="388BA6EB" w14:textId="77777777" w:rsidR="00651F9B" w:rsidRPr="007A4951" w:rsidRDefault="00651F9B" w:rsidP="00651F9B">
      <w:pPr>
        <w:pStyle w:val="Paragrafoelenco"/>
        <w:numPr>
          <w:ilvl w:val="0"/>
          <w:numId w:val="2"/>
        </w:numPr>
        <w:jc w:val="both"/>
        <w:rPr>
          <w:b/>
          <w:bCs/>
          <w:sz w:val="24"/>
          <w:szCs w:val="24"/>
          <w:lang w:val="en-GB"/>
        </w:rPr>
      </w:pPr>
      <w:r w:rsidRPr="007A4951">
        <w:rPr>
          <w:b/>
          <w:bCs/>
          <w:sz w:val="24"/>
          <w:szCs w:val="24"/>
          <w:lang w:val="en-GB"/>
        </w:rPr>
        <w:t xml:space="preserve">Edmond de </w:t>
      </w:r>
      <w:proofErr w:type="spellStart"/>
      <w:r w:rsidRPr="007A4951">
        <w:rPr>
          <w:b/>
          <w:bCs/>
          <w:sz w:val="24"/>
          <w:szCs w:val="24"/>
          <w:lang w:val="en-GB"/>
        </w:rPr>
        <w:t>Belamy</w:t>
      </w:r>
      <w:proofErr w:type="spellEnd"/>
      <w:r w:rsidRPr="007A4951">
        <w:rPr>
          <w:b/>
          <w:bCs/>
          <w:sz w:val="24"/>
          <w:szCs w:val="24"/>
          <w:lang w:val="en-GB"/>
        </w:rPr>
        <w:t xml:space="preserve"> and others: creativity requires data</w:t>
      </w:r>
    </w:p>
    <w:p w14:paraId="608F5F6F" w14:textId="77777777" w:rsidR="00651F9B" w:rsidRPr="007A4951" w:rsidRDefault="00651F9B" w:rsidP="00651F9B">
      <w:pPr>
        <w:ind w:firstLine="397"/>
        <w:jc w:val="both"/>
        <w:rPr>
          <w:sz w:val="24"/>
          <w:szCs w:val="24"/>
          <w:lang w:val="en-GB"/>
        </w:rPr>
      </w:pPr>
      <w:r>
        <w:rPr>
          <w:sz w:val="24"/>
          <w:szCs w:val="24"/>
          <w:lang w:val="en-GB"/>
        </w:rPr>
        <w:t>AI and TDM are starting to play a substantial role in many different fields because of the increased efficiency they provide and the new opportunities they create.</w:t>
      </w:r>
      <w:r>
        <w:rPr>
          <w:rStyle w:val="Rimandonotaapidipagina"/>
          <w:sz w:val="24"/>
          <w:szCs w:val="24"/>
          <w:lang w:val="en-GB"/>
        </w:rPr>
        <w:footnoteReference w:id="10"/>
      </w:r>
      <w:r>
        <w:rPr>
          <w:sz w:val="24"/>
          <w:szCs w:val="24"/>
          <w:lang w:val="en-GB"/>
        </w:rPr>
        <w:t xml:space="preserve"> </w:t>
      </w:r>
      <w:r w:rsidRPr="007A4951">
        <w:rPr>
          <w:sz w:val="24"/>
          <w:szCs w:val="24"/>
          <w:lang w:val="en-GB"/>
        </w:rPr>
        <w:t>Art</w:t>
      </w:r>
      <w:r>
        <w:rPr>
          <w:sz w:val="24"/>
          <w:szCs w:val="24"/>
          <w:lang w:val="en-GB"/>
        </w:rPr>
        <w:t>, which</w:t>
      </w:r>
      <w:r w:rsidRPr="007A4951">
        <w:rPr>
          <w:sz w:val="24"/>
          <w:szCs w:val="24"/>
          <w:lang w:val="en-GB"/>
        </w:rPr>
        <w:t xml:space="preserve"> is just one of the many fields in which AI </w:t>
      </w:r>
      <w:r>
        <w:rPr>
          <w:sz w:val="24"/>
          <w:szCs w:val="24"/>
          <w:lang w:val="en-GB"/>
        </w:rPr>
        <w:t>is</w:t>
      </w:r>
      <w:r w:rsidRPr="007A4951">
        <w:rPr>
          <w:sz w:val="24"/>
          <w:szCs w:val="24"/>
          <w:lang w:val="en-GB"/>
        </w:rPr>
        <w:t xml:space="preserve"> use</w:t>
      </w:r>
      <w:r>
        <w:rPr>
          <w:sz w:val="24"/>
          <w:szCs w:val="24"/>
          <w:lang w:val="en-GB"/>
        </w:rPr>
        <w:t>d,</w:t>
      </w:r>
      <w:r w:rsidRPr="007A4951">
        <w:rPr>
          <w:sz w:val="24"/>
          <w:szCs w:val="24"/>
          <w:lang w:val="en-GB"/>
        </w:rPr>
        <w:t xml:space="preserve"> </w:t>
      </w:r>
      <w:r>
        <w:rPr>
          <w:sz w:val="24"/>
          <w:szCs w:val="24"/>
          <w:lang w:val="en-GB"/>
        </w:rPr>
        <w:t>gives</w:t>
      </w:r>
      <w:r w:rsidRPr="007A4951">
        <w:rPr>
          <w:sz w:val="24"/>
          <w:szCs w:val="24"/>
          <w:lang w:val="en-GB"/>
        </w:rPr>
        <w:t xml:space="preserve"> a </w:t>
      </w:r>
      <w:r>
        <w:rPr>
          <w:sz w:val="24"/>
          <w:szCs w:val="24"/>
          <w:lang w:val="en-GB"/>
        </w:rPr>
        <w:t xml:space="preserve">well-known </w:t>
      </w:r>
      <w:r w:rsidRPr="007A4951">
        <w:rPr>
          <w:sz w:val="24"/>
          <w:szCs w:val="24"/>
          <w:lang w:val="en-GB"/>
        </w:rPr>
        <w:t xml:space="preserve">example </w:t>
      </w:r>
      <w:r>
        <w:rPr>
          <w:sz w:val="24"/>
          <w:szCs w:val="24"/>
          <w:lang w:val="en-GB"/>
        </w:rPr>
        <w:t>that illustrates</w:t>
      </w:r>
      <w:r w:rsidRPr="007A4951">
        <w:rPr>
          <w:sz w:val="24"/>
          <w:szCs w:val="24"/>
          <w:lang w:val="en-GB"/>
        </w:rPr>
        <w:t xml:space="preserve"> the main copyright issues involved in the act of training an AI</w:t>
      </w:r>
      <w:r>
        <w:rPr>
          <w:sz w:val="24"/>
          <w:szCs w:val="24"/>
          <w:lang w:val="en-GB"/>
        </w:rPr>
        <w:t xml:space="preserve"> system</w:t>
      </w:r>
      <w:r w:rsidRPr="007A4951">
        <w:rPr>
          <w:sz w:val="24"/>
          <w:szCs w:val="24"/>
          <w:lang w:val="en-GB"/>
        </w:rPr>
        <w:t>.</w:t>
      </w:r>
    </w:p>
    <w:p w14:paraId="774D0BE6" w14:textId="77777777" w:rsidR="00651F9B" w:rsidRPr="007A4951" w:rsidRDefault="00651F9B" w:rsidP="00651F9B">
      <w:pPr>
        <w:ind w:firstLine="397"/>
        <w:jc w:val="both"/>
        <w:rPr>
          <w:sz w:val="24"/>
          <w:szCs w:val="24"/>
          <w:lang w:val="en-GB"/>
        </w:rPr>
      </w:pPr>
      <w:r w:rsidRPr="007A4951">
        <w:rPr>
          <w:sz w:val="24"/>
          <w:szCs w:val="24"/>
          <w:lang w:val="en-GB"/>
        </w:rPr>
        <w:t xml:space="preserve">On October 2018, </w:t>
      </w:r>
      <w:proofErr w:type="gramStart"/>
      <w:r w:rsidRPr="007A4951">
        <w:rPr>
          <w:sz w:val="24"/>
          <w:szCs w:val="24"/>
          <w:lang w:val="en-GB"/>
        </w:rPr>
        <w:t>Christie’s</w:t>
      </w:r>
      <w:proofErr w:type="gramEnd"/>
      <w:r w:rsidRPr="007A4951">
        <w:rPr>
          <w:sz w:val="24"/>
          <w:szCs w:val="24"/>
          <w:lang w:val="en-GB"/>
        </w:rPr>
        <w:t xml:space="preserve"> sold a picture </w:t>
      </w:r>
      <w:r>
        <w:rPr>
          <w:sz w:val="24"/>
          <w:szCs w:val="24"/>
          <w:lang w:val="en-GB"/>
        </w:rPr>
        <w:t>en</w:t>
      </w:r>
      <w:r w:rsidRPr="007A4951">
        <w:rPr>
          <w:sz w:val="24"/>
          <w:szCs w:val="24"/>
          <w:lang w:val="en-GB"/>
        </w:rPr>
        <w:t xml:space="preserve">titled “Portrait of Edmond de </w:t>
      </w:r>
      <w:proofErr w:type="spellStart"/>
      <w:r w:rsidRPr="007A4951">
        <w:rPr>
          <w:sz w:val="24"/>
          <w:szCs w:val="24"/>
          <w:lang w:val="en-GB"/>
        </w:rPr>
        <w:t>Belamy</w:t>
      </w:r>
      <w:proofErr w:type="spellEnd"/>
      <w:r>
        <w:rPr>
          <w:sz w:val="24"/>
          <w:szCs w:val="24"/>
          <w:lang w:val="en-GB"/>
        </w:rPr>
        <w:t>”</w:t>
      </w:r>
      <w:r w:rsidRPr="0059346D">
        <w:rPr>
          <w:sz w:val="24"/>
          <w:szCs w:val="24"/>
          <w:lang w:val="en-GB"/>
        </w:rPr>
        <w:t xml:space="preserve"> </w:t>
      </w:r>
      <w:r w:rsidRPr="007A4951">
        <w:rPr>
          <w:sz w:val="24"/>
          <w:szCs w:val="24"/>
          <w:lang w:val="en-GB"/>
        </w:rPr>
        <w:t>for 432,500 USD.</w:t>
      </w:r>
      <w:r>
        <w:rPr>
          <w:sz w:val="24"/>
          <w:szCs w:val="24"/>
          <w:lang w:val="en-GB"/>
        </w:rPr>
        <w:t xml:space="preserve"> </w:t>
      </w:r>
      <w:r w:rsidRPr="007A4951">
        <w:rPr>
          <w:sz w:val="24"/>
          <w:szCs w:val="24"/>
          <w:lang w:val="en-GB"/>
        </w:rPr>
        <w:t>Th</w:t>
      </w:r>
      <w:r>
        <w:rPr>
          <w:sz w:val="24"/>
          <w:szCs w:val="24"/>
          <w:lang w:val="en-GB"/>
        </w:rPr>
        <w:t>e subject of the work is a member of</w:t>
      </w:r>
      <w:r w:rsidRPr="00464019">
        <w:rPr>
          <w:sz w:val="24"/>
          <w:szCs w:val="24"/>
          <w:lang w:val="en-GB"/>
        </w:rPr>
        <w:t xml:space="preserve"> the fictional </w:t>
      </w:r>
      <w:proofErr w:type="spellStart"/>
      <w:r w:rsidRPr="00464019">
        <w:rPr>
          <w:sz w:val="24"/>
          <w:szCs w:val="24"/>
          <w:lang w:val="en-GB"/>
        </w:rPr>
        <w:t>Belamy</w:t>
      </w:r>
      <w:proofErr w:type="spellEnd"/>
      <w:r w:rsidRPr="00464019">
        <w:rPr>
          <w:sz w:val="24"/>
          <w:szCs w:val="24"/>
          <w:lang w:val="en-GB"/>
        </w:rPr>
        <w:t xml:space="preserve"> family</w:t>
      </w:r>
      <w:r>
        <w:rPr>
          <w:sz w:val="24"/>
          <w:szCs w:val="24"/>
          <w:lang w:val="en-GB"/>
        </w:rPr>
        <w:t>, who, judging by his</w:t>
      </w:r>
      <w:r w:rsidRPr="003F5F3C">
        <w:rPr>
          <w:sz w:val="24"/>
          <w:szCs w:val="24"/>
          <w:lang w:val="en-GB"/>
        </w:rPr>
        <w:t xml:space="preserve"> dark frockcoat and plain white collar</w:t>
      </w:r>
      <w:r>
        <w:rPr>
          <w:sz w:val="24"/>
          <w:szCs w:val="24"/>
          <w:lang w:val="en-GB"/>
        </w:rPr>
        <w:t xml:space="preserve">, seems to be </w:t>
      </w:r>
      <w:r w:rsidRPr="003F5F3C">
        <w:rPr>
          <w:sz w:val="24"/>
          <w:szCs w:val="24"/>
          <w:lang w:val="en-GB"/>
        </w:rPr>
        <w:t xml:space="preserve">a </w:t>
      </w:r>
      <w:r>
        <w:rPr>
          <w:sz w:val="24"/>
          <w:szCs w:val="24"/>
          <w:lang w:val="en-GB"/>
        </w:rPr>
        <w:t>churchman. The work looks unfinished as the features of the figures are indistinct and blurry and there are some blank areas.</w:t>
      </w:r>
      <w:r w:rsidRPr="007A4951">
        <w:rPr>
          <w:sz w:val="24"/>
          <w:szCs w:val="24"/>
          <w:lang w:val="en-GB"/>
        </w:rPr>
        <w:t xml:space="preserve"> The </w:t>
      </w:r>
      <w:r>
        <w:rPr>
          <w:sz w:val="24"/>
          <w:szCs w:val="24"/>
          <w:lang w:val="en-GB"/>
        </w:rPr>
        <w:t xml:space="preserve">portrait </w:t>
      </w:r>
      <w:r w:rsidRPr="007A4951">
        <w:rPr>
          <w:sz w:val="24"/>
          <w:szCs w:val="24"/>
          <w:lang w:val="en-GB"/>
        </w:rPr>
        <w:t xml:space="preserve">became famous </w:t>
      </w:r>
      <w:r>
        <w:rPr>
          <w:sz w:val="24"/>
          <w:szCs w:val="24"/>
          <w:lang w:val="en-GB"/>
        </w:rPr>
        <w:t>because it was advertised as the first ever AI-generated work to be auctioned</w:t>
      </w:r>
      <w:r>
        <w:rPr>
          <w:rStyle w:val="Rimandonotaapidipagina"/>
          <w:sz w:val="24"/>
          <w:szCs w:val="24"/>
          <w:lang w:val="en-GB"/>
        </w:rPr>
        <w:footnoteReference w:id="11"/>
      </w:r>
      <w:r w:rsidRPr="007A4951">
        <w:rPr>
          <w:sz w:val="24"/>
          <w:szCs w:val="24"/>
          <w:lang w:val="en-GB"/>
        </w:rPr>
        <w:t xml:space="preserve">. </w:t>
      </w:r>
      <w:r>
        <w:rPr>
          <w:sz w:val="24"/>
          <w:szCs w:val="24"/>
          <w:lang w:val="en-GB"/>
        </w:rPr>
        <w:t>It was also an object of controversy because it was produced</w:t>
      </w:r>
      <w:r w:rsidRPr="007A4951">
        <w:rPr>
          <w:sz w:val="24"/>
          <w:szCs w:val="24"/>
          <w:lang w:val="en-GB"/>
        </w:rPr>
        <w:t xml:space="preserve"> by a collective called Obvious</w:t>
      </w:r>
      <w:r>
        <w:rPr>
          <w:sz w:val="24"/>
          <w:szCs w:val="24"/>
          <w:lang w:val="en-GB"/>
        </w:rPr>
        <w:t xml:space="preserve">, using, without acknowledgement, the code </w:t>
      </w:r>
      <w:r w:rsidRPr="00255728">
        <w:rPr>
          <w:sz w:val="24"/>
          <w:szCs w:val="24"/>
          <w:lang w:val="en-GB"/>
        </w:rPr>
        <w:t>of another artist and programmer</w:t>
      </w:r>
      <w:r>
        <w:rPr>
          <w:sz w:val="24"/>
          <w:szCs w:val="24"/>
          <w:lang w:val="en-GB"/>
        </w:rPr>
        <w:t>,</w:t>
      </w:r>
      <w:r w:rsidRPr="00255728">
        <w:rPr>
          <w:sz w:val="24"/>
          <w:szCs w:val="24"/>
          <w:lang w:val="en-GB"/>
        </w:rPr>
        <w:t xml:space="preserve"> Robbie </w:t>
      </w:r>
      <w:proofErr w:type="spellStart"/>
      <w:r w:rsidRPr="00255728">
        <w:rPr>
          <w:sz w:val="24"/>
          <w:szCs w:val="24"/>
          <w:lang w:val="en-GB"/>
        </w:rPr>
        <w:t>Barrat</w:t>
      </w:r>
      <w:proofErr w:type="spellEnd"/>
      <w:r>
        <w:rPr>
          <w:sz w:val="24"/>
          <w:szCs w:val="24"/>
          <w:lang w:val="en-GB"/>
        </w:rPr>
        <w:t xml:space="preserve">, </w:t>
      </w:r>
      <w:r w:rsidRPr="00255728">
        <w:rPr>
          <w:sz w:val="24"/>
          <w:szCs w:val="24"/>
          <w:lang w:val="en-GB"/>
        </w:rPr>
        <w:t>who shared his algorithms online via an open-source license</w:t>
      </w:r>
      <w:r>
        <w:rPr>
          <w:sz w:val="24"/>
          <w:szCs w:val="24"/>
          <w:lang w:val="en-GB"/>
        </w:rPr>
        <w:t>.</w:t>
      </w:r>
      <w:r>
        <w:rPr>
          <w:rStyle w:val="Rimandonotaapidipagina"/>
          <w:sz w:val="24"/>
          <w:szCs w:val="24"/>
          <w:lang w:val="en-GB"/>
        </w:rPr>
        <w:footnoteReference w:id="12"/>
      </w:r>
      <w:r>
        <w:rPr>
          <w:sz w:val="24"/>
          <w:szCs w:val="24"/>
          <w:lang w:val="en-GB"/>
        </w:rPr>
        <w:t xml:space="preserve"> The technology used was a </w:t>
      </w:r>
      <w:r w:rsidRPr="007A4951">
        <w:rPr>
          <w:sz w:val="24"/>
          <w:szCs w:val="24"/>
          <w:lang w:val="en-GB"/>
        </w:rPr>
        <w:t>generative adversarial network (GAN)</w:t>
      </w:r>
      <w:r>
        <w:rPr>
          <w:sz w:val="24"/>
          <w:szCs w:val="24"/>
          <w:lang w:val="en-GB"/>
        </w:rPr>
        <w:t xml:space="preserve"> method</w:t>
      </w:r>
      <w:r w:rsidRPr="007A4951">
        <w:rPr>
          <w:sz w:val="24"/>
          <w:szCs w:val="24"/>
          <w:lang w:val="en-GB"/>
        </w:rPr>
        <w:t xml:space="preserve">, consisting </w:t>
      </w:r>
      <w:r>
        <w:rPr>
          <w:sz w:val="24"/>
          <w:szCs w:val="24"/>
          <w:lang w:val="en-GB"/>
        </w:rPr>
        <w:t>of</w:t>
      </w:r>
      <w:r w:rsidRPr="007A4951">
        <w:rPr>
          <w:sz w:val="24"/>
          <w:szCs w:val="24"/>
          <w:lang w:val="en-GB"/>
        </w:rPr>
        <w:t xml:space="preserve"> two algorithms</w:t>
      </w:r>
      <w:r>
        <w:rPr>
          <w:sz w:val="24"/>
          <w:szCs w:val="24"/>
          <w:lang w:val="en-GB"/>
        </w:rPr>
        <w:t>,</w:t>
      </w:r>
      <w:r w:rsidRPr="007A4951">
        <w:rPr>
          <w:sz w:val="24"/>
          <w:szCs w:val="24"/>
          <w:lang w:val="en-GB"/>
        </w:rPr>
        <w:t xml:space="preserve"> the </w:t>
      </w:r>
      <w:r>
        <w:rPr>
          <w:sz w:val="24"/>
          <w:szCs w:val="24"/>
          <w:lang w:val="en-GB"/>
        </w:rPr>
        <w:t>“</w:t>
      </w:r>
      <w:r w:rsidRPr="007A4951">
        <w:rPr>
          <w:sz w:val="24"/>
          <w:szCs w:val="24"/>
          <w:lang w:val="en-GB"/>
        </w:rPr>
        <w:t xml:space="preserve">generator” and the </w:t>
      </w:r>
      <w:r>
        <w:rPr>
          <w:sz w:val="24"/>
          <w:szCs w:val="24"/>
          <w:lang w:val="en-GB"/>
        </w:rPr>
        <w:t>“</w:t>
      </w:r>
      <w:r w:rsidRPr="007A4951">
        <w:rPr>
          <w:sz w:val="24"/>
          <w:szCs w:val="24"/>
          <w:lang w:val="en-GB"/>
        </w:rPr>
        <w:t>discriminator”</w:t>
      </w:r>
      <w:r>
        <w:rPr>
          <w:sz w:val="24"/>
          <w:szCs w:val="24"/>
          <w:lang w:val="en-GB"/>
        </w:rPr>
        <w:t xml:space="preserve">, in </w:t>
      </w:r>
      <w:r w:rsidRPr="007A4951">
        <w:rPr>
          <w:sz w:val="24"/>
          <w:szCs w:val="24"/>
          <w:lang w:val="en-GB"/>
        </w:rPr>
        <w:t>competition</w:t>
      </w:r>
      <w:r>
        <w:rPr>
          <w:sz w:val="24"/>
          <w:szCs w:val="24"/>
          <w:lang w:val="en-GB"/>
        </w:rPr>
        <w:t xml:space="preserve"> one with the other</w:t>
      </w:r>
      <w:r w:rsidRPr="007A4951">
        <w:rPr>
          <w:sz w:val="24"/>
          <w:szCs w:val="24"/>
          <w:lang w:val="en-GB"/>
        </w:rPr>
        <w:t xml:space="preserve">. </w:t>
      </w:r>
      <w:r>
        <w:rPr>
          <w:sz w:val="24"/>
          <w:szCs w:val="24"/>
          <w:lang w:val="en-GB"/>
        </w:rPr>
        <w:t xml:space="preserve">Using this method, </w:t>
      </w:r>
      <w:r w:rsidRPr="007A4951">
        <w:rPr>
          <w:sz w:val="24"/>
          <w:szCs w:val="24"/>
          <w:lang w:val="en-GB"/>
        </w:rPr>
        <w:t xml:space="preserve">images with common features </w:t>
      </w:r>
      <w:r>
        <w:rPr>
          <w:sz w:val="24"/>
          <w:szCs w:val="24"/>
          <w:lang w:val="en-GB"/>
        </w:rPr>
        <w:t xml:space="preserve">are first collected </w:t>
      </w:r>
      <w:r w:rsidRPr="007A4951">
        <w:rPr>
          <w:sz w:val="24"/>
          <w:szCs w:val="24"/>
          <w:lang w:val="en-GB"/>
        </w:rPr>
        <w:t>to create the data set used to train the AI</w:t>
      </w:r>
      <w:r>
        <w:rPr>
          <w:sz w:val="24"/>
          <w:szCs w:val="24"/>
          <w:lang w:val="en-GB"/>
        </w:rPr>
        <w:t xml:space="preserve"> system</w:t>
      </w:r>
      <w:r w:rsidRPr="007A4951">
        <w:rPr>
          <w:sz w:val="24"/>
          <w:szCs w:val="24"/>
          <w:lang w:val="en-GB"/>
        </w:rPr>
        <w:t xml:space="preserve">. Then the generator </w:t>
      </w:r>
      <w:r>
        <w:rPr>
          <w:sz w:val="24"/>
          <w:szCs w:val="24"/>
          <w:lang w:val="en-GB"/>
        </w:rPr>
        <w:t>is</w:t>
      </w:r>
      <w:r w:rsidRPr="007A4951">
        <w:rPr>
          <w:sz w:val="24"/>
          <w:szCs w:val="24"/>
          <w:lang w:val="en-GB"/>
        </w:rPr>
        <w:t xml:space="preserve"> employed to generate images which </w:t>
      </w:r>
      <w:r>
        <w:rPr>
          <w:sz w:val="24"/>
          <w:szCs w:val="24"/>
          <w:lang w:val="en-GB"/>
        </w:rPr>
        <w:t>are</w:t>
      </w:r>
      <w:r w:rsidRPr="007A4951">
        <w:rPr>
          <w:sz w:val="24"/>
          <w:szCs w:val="24"/>
          <w:lang w:val="en-GB"/>
        </w:rPr>
        <w:t xml:space="preserve"> supposed to “fool” the discriminator. The role of the second algorithm is to compare the images the generator sends </w:t>
      </w:r>
      <w:r>
        <w:rPr>
          <w:sz w:val="24"/>
          <w:szCs w:val="24"/>
          <w:lang w:val="en-GB"/>
        </w:rPr>
        <w:t xml:space="preserve">to </w:t>
      </w:r>
      <w:r w:rsidRPr="007A4951">
        <w:rPr>
          <w:sz w:val="24"/>
          <w:szCs w:val="24"/>
          <w:lang w:val="en-GB"/>
        </w:rPr>
        <w:t xml:space="preserve">it with pictures in the data set, trying to determine whether they </w:t>
      </w:r>
      <w:r>
        <w:rPr>
          <w:sz w:val="24"/>
          <w:szCs w:val="24"/>
          <w:lang w:val="en-GB"/>
        </w:rPr>
        <w:t>were</w:t>
      </w:r>
      <w:r w:rsidRPr="007A4951">
        <w:rPr>
          <w:sz w:val="24"/>
          <w:szCs w:val="24"/>
          <w:lang w:val="en-GB"/>
        </w:rPr>
        <w:t xml:space="preserve"> made by humans or by the algorithm. The generator obtains feedback from the </w:t>
      </w:r>
      <w:r w:rsidRPr="007A4951">
        <w:rPr>
          <w:sz w:val="24"/>
          <w:szCs w:val="24"/>
          <w:lang w:val="en-GB"/>
        </w:rPr>
        <w:lastRenderedPageBreak/>
        <w:t xml:space="preserve">discriminator and uses </w:t>
      </w:r>
      <w:r>
        <w:rPr>
          <w:sz w:val="24"/>
          <w:szCs w:val="24"/>
          <w:lang w:val="en-GB"/>
        </w:rPr>
        <w:t>it</w:t>
      </w:r>
      <w:r w:rsidRPr="007A4951">
        <w:rPr>
          <w:sz w:val="24"/>
          <w:szCs w:val="24"/>
          <w:lang w:val="en-GB"/>
        </w:rPr>
        <w:t xml:space="preserve"> to adapt and generate more and more realistic images</w:t>
      </w:r>
      <w:r>
        <w:rPr>
          <w:sz w:val="24"/>
          <w:szCs w:val="24"/>
          <w:lang w:val="en-GB"/>
        </w:rPr>
        <w:t>,</w:t>
      </w:r>
      <w:r w:rsidRPr="007A4951">
        <w:rPr>
          <w:sz w:val="24"/>
          <w:szCs w:val="24"/>
          <w:lang w:val="en-GB"/>
        </w:rPr>
        <w:t xml:space="preserve"> until the discriminator recogni</w:t>
      </w:r>
      <w:r>
        <w:rPr>
          <w:sz w:val="24"/>
          <w:szCs w:val="24"/>
          <w:lang w:val="en-GB"/>
        </w:rPr>
        <w:t>z</w:t>
      </w:r>
      <w:r w:rsidRPr="007A4951">
        <w:rPr>
          <w:sz w:val="24"/>
          <w:szCs w:val="24"/>
          <w:lang w:val="en-GB"/>
        </w:rPr>
        <w:t xml:space="preserve">es </w:t>
      </w:r>
      <w:r>
        <w:rPr>
          <w:sz w:val="24"/>
          <w:szCs w:val="24"/>
          <w:lang w:val="en-GB"/>
        </w:rPr>
        <w:t xml:space="preserve">the </w:t>
      </w:r>
      <w:r w:rsidRPr="007A4951">
        <w:rPr>
          <w:sz w:val="24"/>
          <w:szCs w:val="24"/>
          <w:lang w:val="en-GB"/>
        </w:rPr>
        <w:t xml:space="preserve">pictures </w:t>
      </w:r>
      <w:r>
        <w:rPr>
          <w:sz w:val="24"/>
          <w:szCs w:val="24"/>
          <w:lang w:val="en-GB"/>
        </w:rPr>
        <w:t xml:space="preserve">concerned </w:t>
      </w:r>
      <w:r w:rsidRPr="007A4951">
        <w:rPr>
          <w:sz w:val="24"/>
          <w:szCs w:val="24"/>
          <w:lang w:val="en-GB"/>
        </w:rPr>
        <w:t xml:space="preserve">as </w:t>
      </w:r>
      <w:proofErr w:type="gramStart"/>
      <w:r w:rsidRPr="007A4951">
        <w:rPr>
          <w:sz w:val="24"/>
          <w:szCs w:val="24"/>
          <w:lang w:val="en-GB"/>
        </w:rPr>
        <w:t>human</w:t>
      </w:r>
      <w:r>
        <w:rPr>
          <w:sz w:val="24"/>
          <w:szCs w:val="24"/>
          <w:lang w:val="en-GB"/>
        </w:rPr>
        <w:t>-</w:t>
      </w:r>
      <w:r w:rsidRPr="007A4951">
        <w:rPr>
          <w:sz w:val="24"/>
          <w:szCs w:val="24"/>
          <w:lang w:val="en-GB"/>
        </w:rPr>
        <w:t>created</w:t>
      </w:r>
      <w:proofErr w:type="gramEnd"/>
      <w:r>
        <w:rPr>
          <w:sz w:val="24"/>
          <w:szCs w:val="24"/>
          <w:lang w:val="en-GB"/>
        </w:rPr>
        <w:t>.</w:t>
      </w:r>
      <w:r w:rsidRPr="007A4951">
        <w:rPr>
          <w:rStyle w:val="Rimandonotaapidipagina"/>
          <w:sz w:val="24"/>
          <w:szCs w:val="24"/>
          <w:lang w:val="en-GB"/>
        </w:rPr>
        <w:footnoteReference w:id="13"/>
      </w:r>
    </w:p>
    <w:p w14:paraId="61CE69F1" w14:textId="45D32643" w:rsidR="00651F9B" w:rsidRPr="007A4951" w:rsidRDefault="00651F9B" w:rsidP="00651F9B">
      <w:pPr>
        <w:ind w:firstLine="397"/>
        <w:jc w:val="both"/>
        <w:rPr>
          <w:sz w:val="24"/>
          <w:szCs w:val="24"/>
          <w:lang w:val="en-GB"/>
        </w:rPr>
      </w:pPr>
      <w:r w:rsidRPr="007A4951">
        <w:rPr>
          <w:sz w:val="24"/>
          <w:szCs w:val="24"/>
          <w:lang w:val="en-GB"/>
        </w:rPr>
        <w:t xml:space="preserve">The data set used </w:t>
      </w:r>
      <w:r w:rsidR="00442587">
        <w:rPr>
          <w:sz w:val="24"/>
          <w:szCs w:val="24"/>
          <w:lang w:val="en-GB"/>
        </w:rPr>
        <w:t>for</w:t>
      </w:r>
      <w:r w:rsidRPr="007A4951">
        <w:rPr>
          <w:sz w:val="24"/>
          <w:szCs w:val="24"/>
          <w:lang w:val="en-GB"/>
        </w:rPr>
        <w:t xml:space="preserve"> the AI </w:t>
      </w:r>
      <w:r>
        <w:rPr>
          <w:sz w:val="24"/>
          <w:szCs w:val="24"/>
          <w:lang w:val="en-GB"/>
        </w:rPr>
        <w:t xml:space="preserve">system </w:t>
      </w:r>
      <w:r w:rsidRPr="007A4951">
        <w:rPr>
          <w:sz w:val="24"/>
          <w:szCs w:val="24"/>
          <w:lang w:val="en-GB"/>
        </w:rPr>
        <w:t>consist</w:t>
      </w:r>
      <w:r>
        <w:rPr>
          <w:sz w:val="24"/>
          <w:szCs w:val="24"/>
          <w:lang w:val="en-GB"/>
        </w:rPr>
        <w:t>ed</w:t>
      </w:r>
      <w:r w:rsidRPr="007A4951">
        <w:rPr>
          <w:sz w:val="24"/>
          <w:szCs w:val="24"/>
          <w:lang w:val="en-GB"/>
        </w:rPr>
        <w:t xml:space="preserve"> of 15</w:t>
      </w:r>
      <w:r>
        <w:rPr>
          <w:sz w:val="24"/>
          <w:szCs w:val="24"/>
          <w:lang w:val="en-GB"/>
        </w:rPr>
        <w:t>,</w:t>
      </w:r>
      <w:r w:rsidRPr="007A4951">
        <w:rPr>
          <w:sz w:val="24"/>
          <w:szCs w:val="24"/>
          <w:lang w:val="en-GB"/>
        </w:rPr>
        <w:t>000 portraits from the 14</w:t>
      </w:r>
      <w:r w:rsidRPr="007A4951">
        <w:rPr>
          <w:sz w:val="24"/>
          <w:szCs w:val="24"/>
          <w:vertAlign w:val="superscript"/>
          <w:lang w:val="en-GB"/>
        </w:rPr>
        <w:t>th</w:t>
      </w:r>
      <w:r w:rsidRPr="007A4951">
        <w:rPr>
          <w:sz w:val="24"/>
          <w:szCs w:val="24"/>
          <w:lang w:val="en-GB"/>
        </w:rPr>
        <w:t xml:space="preserve"> to the 19</w:t>
      </w:r>
      <w:r w:rsidRPr="007A4951">
        <w:rPr>
          <w:sz w:val="24"/>
          <w:szCs w:val="24"/>
          <w:vertAlign w:val="superscript"/>
          <w:lang w:val="en-GB"/>
        </w:rPr>
        <w:t>th</w:t>
      </w:r>
      <w:r w:rsidRPr="007A4951">
        <w:rPr>
          <w:sz w:val="24"/>
          <w:szCs w:val="24"/>
          <w:lang w:val="en-GB"/>
        </w:rPr>
        <w:t xml:space="preserve"> centur</w:t>
      </w:r>
      <w:r>
        <w:rPr>
          <w:sz w:val="24"/>
          <w:szCs w:val="24"/>
          <w:lang w:val="en-GB"/>
        </w:rPr>
        <w:t xml:space="preserve">ies, </w:t>
      </w:r>
      <w:r w:rsidRPr="007A4951">
        <w:rPr>
          <w:sz w:val="24"/>
          <w:szCs w:val="24"/>
          <w:lang w:val="en-GB"/>
        </w:rPr>
        <w:t>taken from the online encyclop</w:t>
      </w:r>
      <w:r>
        <w:rPr>
          <w:sz w:val="24"/>
          <w:szCs w:val="24"/>
          <w:lang w:val="en-GB"/>
        </w:rPr>
        <w:t>a</w:t>
      </w:r>
      <w:r w:rsidRPr="007A4951">
        <w:rPr>
          <w:sz w:val="24"/>
          <w:szCs w:val="24"/>
          <w:lang w:val="en-GB"/>
        </w:rPr>
        <w:t>edia “</w:t>
      </w:r>
      <w:proofErr w:type="spellStart"/>
      <w:r w:rsidRPr="007A4951">
        <w:rPr>
          <w:sz w:val="24"/>
          <w:szCs w:val="24"/>
          <w:lang w:val="en-GB"/>
        </w:rPr>
        <w:t>WikiArt</w:t>
      </w:r>
      <w:proofErr w:type="spellEnd"/>
      <w:r w:rsidRPr="007A4951">
        <w:rPr>
          <w:sz w:val="24"/>
          <w:szCs w:val="24"/>
          <w:lang w:val="en-GB"/>
        </w:rPr>
        <w:t>”</w:t>
      </w:r>
      <w:r>
        <w:rPr>
          <w:sz w:val="24"/>
          <w:szCs w:val="24"/>
          <w:lang w:val="en-GB"/>
        </w:rPr>
        <w:t>.</w:t>
      </w:r>
      <w:r w:rsidRPr="007A4951">
        <w:rPr>
          <w:rStyle w:val="Rimandonotaapidipagina"/>
          <w:sz w:val="24"/>
          <w:szCs w:val="24"/>
          <w:lang w:val="en-GB"/>
        </w:rPr>
        <w:footnoteReference w:id="14"/>
      </w:r>
      <w:r w:rsidRPr="007A4951">
        <w:rPr>
          <w:sz w:val="24"/>
          <w:szCs w:val="24"/>
          <w:lang w:val="en-GB"/>
        </w:rPr>
        <w:t xml:space="preserve"> </w:t>
      </w:r>
      <w:r>
        <w:rPr>
          <w:sz w:val="24"/>
          <w:szCs w:val="24"/>
          <w:lang w:val="en-GB"/>
        </w:rPr>
        <w:t>The question to be answered</w:t>
      </w:r>
      <w:r w:rsidRPr="007A4951">
        <w:rPr>
          <w:sz w:val="24"/>
          <w:szCs w:val="24"/>
          <w:lang w:val="en-GB"/>
        </w:rPr>
        <w:t xml:space="preserve"> is: </w:t>
      </w:r>
      <w:r>
        <w:rPr>
          <w:sz w:val="24"/>
          <w:szCs w:val="24"/>
          <w:lang w:val="en-GB"/>
        </w:rPr>
        <w:t xml:space="preserve">had </w:t>
      </w:r>
      <w:r w:rsidRPr="007A4951">
        <w:rPr>
          <w:sz w:val="24"/>
          <w:szCs w:val="24"/>
          <w:lang w:val="en-GB"/>
        </w:rPr>
        <w:t xml:space="preserve">the images </w:t>
      </w:r>
      <w:r>
        <w:rPr>
          <w:sz w:val="24"/>
          <w:szCs w:val="24"/>
          <w:lang w:val="en-GB"/>
        </w:rPr>
        <w:t>still been</w:t>
      </w:r>
      <w:r w:rsidRPr="007A4951">
        <w:rPr>
          <w:sz w:val="24"/>
          <w:szCs w:val="24"/>
          <w:lang w:val="en-GB"/>
        </w:rPr>
        <w:t xml:space="preserve"> covered by copyright, </w:t>
      </w:r>
      <w:r>
        <w:rPr>
          <w:sz w:val="24"/>
          <w:szCs w:val="24"/>
          <w:lang w:val="en-GB"/>
        </w:rPr>
        <w:t xml:space="preserve">could </w:t>
      </w:r>
      <w:r w:rsidRPr="007A4951">
        <w:rPr>
          <w:sz w:val="24"/>
          <w:szCs w:val="24"/>
          <w:lang w:val="en-GB"/>
        </w:rPr>
        <w:t>the activity of collecting pictures and us</w:t>
      </w:r>
      <w:r>
        <w:rPr>
          <w:sz w:val="24"/>
          <w:szCs w:val="24"/>
          <w:lang w:val="en-GB"/>
        </w:rPr>
        <w:t>ing</w:t>
      </w:r>
      <w:r w:rsidRPr="007A4951">
        <w:rPr>
          <w:sz w:val="24"/>
          <w:szCs w:val="24"/>
          <w:lang w:val="en-GB"/>
        </w:rPr>
        <w:t xml:space="preserve"> them to develop the AI </w:t>
      </w:r>
      <w:r>
        <w:rPr>
          <w:sz w:val="24"/>
          <w:szCs w:val="24"/>
          <w:lang w:val="en-GB"/>
        </w:rPr>
        <w:t xml:space="preserve">system </w:t>
      </w:r>
      <w:r w:rsidRPr="007A4951">
        <w:rPr>
          <w:sz w:val="24"/>
          <w:szCs w:val="24"/>
          <w:lang w:val="en-GB"/>
        </w:rPr>
        <w:t xml:space="preserve">have </w:t>
      </w:r>
      <w:r>
        <w:rPr>
          <w:sz w:val="24"/>
          <w:szCs w:val="24"/>
          <w:lang w:val="en-GB"/>
        </w:rPr>
        <w:t xml:space="preserve">constituted </w:t>
      </w:r>
      <w:r w:rsidRPr="007A4951">
        <w:rPr>
          <w:sz w:val="24"/>
          <w:szCs w:val="24"/>
          <w:lang w:val="en-GB"/>
        </w:rPr>
        <w:t xml:space="preserve">a copyright infringement? </w:t>
      </w:r>
    </w:p>
    <w:p w14:paraId="46C33843" w14:textId="77777777" w:rsidR="00651F9B" w:rsidRPr="007A4951" w:rsidRDefault="00651F9B" w:rsidP="00651F9B">
      <w:pPr>
        <w:ind w:firstLine="397"/>
        <w:jc w:val="both"/>
        <w:rPr>
          <w:b/>
          <w:bCs/>
          <w:sz w:val="24"/>
          <w:szCs w:val="24"/>
          <w:lang w:val="en-GB"/>
        </w:rPr>
      </w:pPr>
      <w:r w:rsidRPr="007A4951">
        <w:rPr>
          <w:b/>
          <w:bCs/>
          <w:sz w:val="24"/>
          <w:szCs w:val="24"/>
          <w:lang w:val="en-GB"/>
        </w:rPr>
        <w:t>3. The conflict between IPRs and the training of AI</w:t>
      </w:r>
      <w:r>
        <w:rPr>
          <w:b/>
          <w:bCs/>
          <w:sz w:val="24"/>
          <w:szCs w:val="24"/>
          <w:lang w:val="en-GB"/>
        </w:rPr>
        <w:t xml:space="preserve"> systems</w:t>
      </w:r>
    </w:p>
    <w:p w14:paraId="4A5249E4" w14:textId="77777777" w:rsidR="00651F9B" w:rsidRPr="007A4951" w:rsidRDefault="00651F9B" w:rsidP="00651F9B">
      <w:pPr>
        <w:ind w:firstLine="397"/>
        <w:jc w:val="both"/>
        <w:rPr>
          <w:sz w:val="24"/>
          <w:szCs w:val="24"/>
          <w:lang w:val="en-GB"/>
        </w:rPr>
      </w:pPr>
      <w:r w:rsidRPr="007A4951">
        <w:rPr>
          <w:sz w:val="24"/>
          <w:szCs w:val="24"/>
          <w:lang w:val="en-GB"/>
        </w:rPr>
        <w:t xml:space="preserve">As we </w:t>
      </w:r>
      <w:r>
        <w:rPr>
          <w:sz w:val="24"/>
          <w:szCs w:val="24"/>
          <w:lang w:val="en-GB"/>
        </w:rPr>
        <w:t>have seen,</w:t>
      </w:r>
      <w:r w:rsidRPr="007A4951">
        <w:rPr>
          <w:sz w:val="24"/>
          <w:szCs w:val="24"/>
          <w:lang w:val="en-GB"/>
        </w:rPr>
        <w:t xml:space="preserve"> </w:t>
      </w:r>
      <w:r>
        <w:rPr>
          <w:sz w:val="24"/>
          <w:szCs w:val="24"/>
          <w:lang w:val="en-GB"/>
        </w:rPr>
        <w:t xml:space="preserve">the creation of </w:t>
      </w:r>
      <w:r w:rsidRPr="007A4951">
        <w:rPr>
          <w:sz w:val="24"/>
          <w:szCs w:val="24"/>
          <w:lang w:val="en-GB"/>
        </w:rPr>
        <w:t xml:space="preserve">the portrait involved a huge number of pictures. </w:t>
      </w:r>
      <w:r>
        <w:rPr>
          <w:sz w:val="24"/>
          <w:szCs w:val="24"/>
          <w:lang w:val="en-GB"/>
        </w:rPr>
        <w:t>The use of such technology</w:t>
      </w:r>
      <w:r w:rsidRPr="007A4951">
        <w:rPr>
          <w:sz w:val="24"/>
          <w:szCs w:val="24"/>
          <w:lang w:val="en-GB"/>
        </w:rPr>
        <w:t xml:space="preserve"> is peculiar because</w:t>
      </w:r>
      <w:r>
        <w:rPr>
          <w:sz w:val="24"/>
          <w:szCs w:val="24"/>
          <w:lang w:val="en-GB"/>
        </w:rPr>
        <w:t>,</w:t>
      </w:r>
      <w:r w:rsidRPr="007A4951">
        <w:rPr>
          <w:sz w:val="24"/>
          <w:szCs w:val="24"/>
          <w:lang w:val="en-GB"/>
        </w:rPr>
        <w:t xml:space="preserve"> even though the </w:t>
      </w:r>
      <w:r>
        <w:rPr>
          <w:sz w:val="24"/>
          <w:szCs w:val="24"/>
          <w:lang w:val="en-GB"/>
        </w:rPr>
        <w:t xml:space="preserve">purpose </w:t>
      </w:r>
      <w:r w:rsidRPr="007A4951">
        <w:rPr>
          <w:sz w:val="24"/>
          <w:szCs w:val="24"/>
          <w:lang w:val="en-GB"/>
        </w:rPr>
        <w:t>was to create a</w:t>
      </w:r>
      <w:r>
        <w:rPr>
          <w:sz w:val="24"/>
          <w:szCs w:val="24"/>
          <w:lang w:val="en-GB"/>
        </w:rPr>
        <w:t xml:space="preserve"> work of art</w:t>
      </w:r>
      <w:r w:rsidRPr="007A4951">
        <w:rPr>
          <w:sz w:val="24"/>
          <w:szCs w:val="24"/>
          <w:lang w:val="en-GB"/>
        </w:rPr>
        <w:t xml:space="preserve">, the exploitation of such </w:t>
      </w:r>
      <w:r>
        <w:rPr>
          <w:sz w:val="24"/>
          <w:szCs w:val="24"/>
          <w:lang w:val="en-GB"/>
        </w:rPr>
        <w:t xml:space="preserve">images using </w:t>
      </w:r>
      <w:r w:rsidRPr="007A4951">
        <w:rPr>
          <w:sz w:val="24"/>
          <w:szCs w:val="24"/>
          <w:lang w:val="en-GB"/>
        </w:rPr>
        <w:t xml:space="preserve">AI is </w:t>
      </w:r>
      <w:r>
        <w:rPr>
          <w:sz w:val="24"/>
          <w:szCs w:val="24"/>
          <w:lang w:val="en-GB"/>
        </w:rPr>
        <w:t xml:space="preserve">so </w:t>
      </w:r>
      <w:r w:rsidRPr="007A4951">
        <w:rPr>
          <w:sz w:val="24"/>
          <w:szCs w:val="24"/>
          <w:lang w:val="en-GB"/>
        </w:rPr>
        <w:t xml:space="preserve">different from </w:t>
      </w:r>
      <w:r>
        <w:rPr>
          <w:sz w:val="24"/>
          <w:szCs w:val="24"/>
          <w:lang w:val="en-GB"/>
        </w:rPr>
        <w:t xml:space="preserve">the </w:t>
      </w:r>
      <w:r w:rsidRPr="007A4951">
        <w:rPr>
          <w:sz w:val="24"/>
          <w:szCs w:val="24"/>
          <w:lang w:val="en-GB"/>
        </w:rPr>
        <w:t xml:space="preserve">“traditional” </w:t>
      </w:r>
      <w:r>
        <w:rPr>
          <w:sz w:val="24"/>
          <w:szCs w:val="24"/>
          <w:lang w:val="en-GB"/>
        </w:rPr>
        <w:t>method</w:t>
      </w:r>
      <w:r w:rsidRPr="007A4951">
        <w:rPr>
          <w:sz w:val="24"/>
          <w:szCs w:val="24"/>
          <w:lang w:val="en-GB"/>
        </w:rPr>
        <w:t>. The images are involved in an automated process</w:t>
      </w:r>
      <w:r>
        <w:rPr>
          <w:sz w:val="24"/>
          <w:szCs w:val="24"/>
          <w:lang w:val="en-GB"/>
        </w:rPr>
        <w:t>,</w:t>
      </w:r>
      <w:r w:rsidRPr="007A4951">
        <w:rPr>
          <w:sz w:val="24"/>
          <w:szCs w:val="24"/>
          <w:lang w:val="en-GB"/>
        </w:rPr>
        <w:t xml:space="preserve"> in which the knowledge and value extracted depend on the volume and completeness of the dataset</w:t>
      </w:r>
      <w:r>
        <w:rPr>
          <w:sz w:val="24"/>
          <w:szCs w:val="24"/>
          <w:lang w:val="en-GB"/>
        </w:rPr>
        <w:t>,</w:t>
      </w:r>
      <w:r w:rsidRPr="007A4951">
        <w:rPr>
          <w:sz w:val="24"/>
          <w:szCs w:val="24"/>
          <w:lang w:val="en-GB"/>
        </w:rPr>
        <w:t xml:space="preserve"> and the correlation</w:t>
      </w:r>
      <w:r>
        <w:rPr>
          <w:sz w:val="24"/>
          <w:szCs w:val="24"/>
          <w:lang w:val="en-GB"/>
        </w:rPr>
        <w:t xml:space="preserve"> of</w:t>
      </w:r>
      <w:r w:rsidRPr="007A4951">
        <w:rPr>
          <w:sz w:val="24"/>
          <w:szCs w:val="24"/>
          <w:lang w:val="en-GB"/>
        </w:rPr>
        <w:t xml:space="preserve"> the data</w:t>
      </w:r>
      <w:r>
        <w:rPr>
          <w:sz w:val="24"/>
          <w:szCs w:val="24"/>
          <w:lang w:val="en-GB"/>
        </w:rPr>
        <w:t>.</w:t>
      </w:r>
      <w:r w:rsidRPr="007A4951">
        <w:rPr>
          <w:rStyle w:val="Rimandonotaapidipagina"/>
          <w:sz w:val="24"/>
          <w:szCs w:val="24"/>
          <w:lang w:val="en-GB"/>
        </w:rPr>
        <w:footnoteReference w:id="15"/>
      </w:r>
      <w:r w:rsidRPr="007A4951">
        <w:rPr>
          <w:sz w:val="24"/>
          <w:szCs w:val="24"/>
          <w:lang w:val="en-GB"/>
        </w:rPr>
        <w:t xml:space="preserve"> Furthermore, the process is not </w:t>
      </w:r>
      <w:r>
        <w:rPr>
          <w:sz w:val="24"/>
          <w:szCs w:val="24"/>
          <w:lang w:val="en-GB"/>
        </w:rPr>
        <w:t xml:space="preserve">dependent on human creativity, but on the generation of </w:t>
      </w:r>
      <w:r w:rsidRPr="007A4951">
        <w:rPr>
          <w:sz w:val="24"/>
          <w:szCs w:val="24"/>
          <w:lang w:val="en-GB"/>
        </w:rPr>
        <w:t>information</w:t>
      </w:r>
      <w:r>
        <w:rPr>
          <w:sz w:val="24"/>
          <w:szCs w:val="24"/>
          <w:lang w:val="en-GB"/>
        </w:rPr>
        <w:t>.</w:t>
      </w:r>
      <w:r w:rsidRPr="007A4951">
        <w:rPr>
          <w:rStyle w:val="Rimandonotaapidipagina"/>
          <w:sz w:val="24"/>
          <w:szCs w:val="24"/>
          <w:lang w:val="en-GB"/>
        </w:rPr>
        <w:footnoteReference w:id="16"/>
      </w:r>
      <w:r w:rsidRPr="007A4951">
        <w:rPr>
          <w:sz w:val="24"/>
          <w:szCs w:val="24"/>
          <w:lang w:val="en-GB"/>
        </w:rPr>
        <w:t xml:space="preserve"> </w:t>
      </w:r>
    </w:p>
    <w:p w14:paraId="51E98AB7" w14:textId="77777777" w:rsidR="00651F9B" w:rsidRDefault="00651F9B" w:rsidP="00651F9B">
      <w:pPr>
        <w:ind w:firstLine="397"/>
        <w:jc w:val="both"/>
        <w:rPr>
          <w:sz w:val="24"/>
          <w:szCs w:val="24"/>
          <w:lang w:val="en-GB"/>
        </w:rPr>
      </w:pPr>
      <w:r w:rsidRPr="007A4951">
        <w:rPr>
          <w:sz w:val="24"/>
          <w:szCs w:val="24"/>
          <w:lang w:val="en-GB"/>
        </w:rPr>
        <w:t>Considering the implication</w:t>
      </w:r>
      <w:r>
        <w:rPr>
          <w:sz w:val="24"/>
          <w:szCs w:val="24"/>
          <w:lang w:val="en-GB"/>
        </w:rPr>
        <w:t xml:space="preserve">s for </w:t>
      </w:r>
      <w:r w:rsidRPr="007A4951">
        <w:rPr>
          <w:sz w:val="24"/>
          <w:szCs w:val="24"/>
          <w:lang w:val="en-GB"/>
        </w:rPr>
        <w:t xml:space="preserve">copyright, it may be argued that TDM </w:t>
      </w:r>
      <w:r>
        <w:rPr>
          <w:sz w:val="24"/>
          <w:szCs w:val="24"/>
          <w:lang w:val="en-GB"/>
        </w:rPr>
        <w:t xml:space="preserve">requires the </w:t>
      </w:r>
      <w:r w:rsidRPr="007A4951">
        <w:rPr>
          <w:sz w:val="24"/>
          <w:szCs w:val="24"/>
          <w:lang w:val="en-GB"/>
        </w:rPr>
        <w:t>extraction of data that,</w:t>
      </w:r>
      <w:r>
        <w:rPr>
          <w:sz w:val="24"/>
          <w:szCs w:val="24"/>
          <w:lang w:val="en-GB"/>
        </w:rPr>
        <w:t xml:space="preserve"> though embedded within the works of art concerned, amount to objective patterns and facts, and a</w:t>
      </w:r>
      <w:r w:rsidRPr="007A4951">
        <w:rPr>
          <w:sz w:val="24"/>
          <w:szCs w:val="24"/>
          <w:lang w:val="en-GB"/>
        </w:rPr>
        <w:t>s such are not protected</w:t>
      </w:r>
      <w:r>
        <w:rPr>
          <w:sz w:val="24"/>
          <w:szCs w:val="24"/>
          <w:lang w:val="en-GB"/>
        </w:rPr>
        <w:t>.</w:t>
      </w:r>
      <w:r w:rsidRPr="007A4951">
        <w:rPr>
          <w:rStyle w:val="Rimandonotaapidipagina"/>
          <w:sz w:val="24"/>
          <w:szCs w:val="24"/>
          <w:lang w:val="en-GB"/>
        </w:rPr>
        <w:footnoteReference w:id="17"/>
      </w:r>
      <w:r w:rsidRPr="007A4951">
        <w:rPr>
          <w:sz w:val="24"/>
          <w:szCs w:val="24"/>
          <w:lang w:val="en-GB"/>
        </w:rPr>
        <w:t xml:space="preserve"> </w:t>
      </w:r>
      <w:r>
        <w:rPr>
          <w:sz w:val="24"/>
          <w:szCs w:val="24"/>
          <w:lang w:val="en-GB"/>
        </w:rPr>
        <w:t>O</w:t>
      </w:r>
      <w:r w:rsidRPr="00CD6778">
        <w:rPr>
          <w:sz w:val="24"/>
          <w:szCs w:val="24"/>
          <w:lang w:val="en-GB"/>
        </w:rPr>
        <w:t>ne of the fundamental</w:t>
      </w:r>
      <w:r>
        <w:rPr>
          <w:sz w:val="24"/>
          <w:szCs w:val="24"/>
          <w:lang w:val="en-GB"/>
        </w:rPr>
        <w:t xml:space="preserve"> and generally recognized principles </w:t>
      </w:r>
      <w:r w:rsidRPr="00CD6778">
        <w:rPr>
          <w:sz w:val="24"/>
          <w:szCs w:val="24"/>
          <w:lang w:val="en-GB"/>
        </w:rPr>
        <w:t>of copyright law is th</w:t>
      </w:r>
      <w:r>
        <w:rPr>
          <w:sz w:val="24"/>
          <w:szCs w:val="24"/>
          <w:lang w:val="en-GB"/>
        </w:rPr>
        <w:t xml:space="preserve">e idea/expression </w:t>
      </w:r>
      <w:r w:rsidRPr="00CD6778">
        <w:rPr>
          <w:sz w:val="24"/>
          <w:szCs w:val="24"/>
          <w:lang w:val="en-GB"/>
        </w:rPr>
        <w:t>dichotomy</w:t>
      </w:r>
      <w:r>
        <w:rPr>
          <w:sz w:val="24"/>
          <w:szCs w:val="24"/>
          <w:lang w:val="en-GB"/>
        </w:rPr>
        <w:t>,</w:t>
      </w:r>
      <w:r w:rsidRPr="00CD6778">
        <w:rPr>
          <w:sz w:val="24"/>
          <w:szCs w:val="24"/>
          <w:lang w:val="en-GB"/>
        </w:rPr>
        <w:t xml:space="preserve"> </w:t>
      </w:r>
      <w:r>
        <w:rPr>
          <w:sz w:val="24"/>
          <w:szCs w:val="24"/>
          <w:lang w:val="en-GB"/>
        </w:rPr>
        <w:t>according to which copyright does not protect ideas and information but rather the way they are expressed</w:t>
      </w:r>
      <w:r w:rsidRPr="007A4951">
        <w:rPr>
          <w:sz w:val="24"/>
          <w:szCs w:val="24"/>
          <w:lang w:val="en-GB"/>
        </w:rPr>
        <w:t xml:space="preserve">. </w:t>
      </w:r>
      <w:r>
        <w:rPr>
          <w:sz w:val="24"/>
          <w:szCs w:val="24"/>
          <w:lang w:val="en-GB"/>
        </w:rPr>
        <w:t>Consequently,</w:t>
      </w:r>
      <w:r w:rsidRPr="007A4951">
        <w:rPr>
          <w:sz w:val="24"/>
          <w:szCs w:val="24"/>
          <w:lang w:val="en-GB"/>
        </w:rPr>
        <w:t xml:space="preserve"> we can </w:t>
      </w:r>
      <w:r>
        <w:rPr>
          <w:sz w:val="24"/>
          <w:szCs w:val="24"/>
          <w:lang w:val="en-GB"/>
        </w:rPr>
        <w:t>view</w:t>
      </w:r>
      <w:r w:rsidRPr="007A4951">
        <w:rPr>
          <w:sz w:val="24"/>
          <w:szCs w:val="24"/>
          <w:lang w:val="en-GB"/>
        </w:rPr>
        <w:t xml:space="preserve"> TDM and the training of an AI </w:t>
      </w:r>
      <w:r>
        <w:rPr>
          <w:sz w:val="24"/>
          <w:szCs w:val="24"/>
          <w:lang w:val="en-GB"/>
        </w:rPr>
        <w:t xml:space="preserve">system </w:t>
      </w:r>
      <w:r w:rsidRPr="007A4951">
        <w:rPr>
          <w:sz w:val="24"/>
          <w:szCs w:val="24"/>
          <w:lang w:val="en-GB"/>
        </w:rPr>
        <w:t>as a “neutral” activity from the point of view of intellectual property protection: TDM is an act of analysis</w:t>
      </w:r>
      <w:r>
        <w:rPr>
          <w:sz w:val="24"/>
          <w:szCs w:val="24"/>
          <w:lang w:val="en-GB"/>
        </w:rPr>
        <w:t xml:space="preserve">; the aim is not to </w:t>
      </w:r>
      <w:r w:rsidRPr="007A4951">
        <w:rPr>
          <w:sz w:val="24"/>
          <w:szCs w:val="24"/>
          <w:lang w:val="en-GB"/>
        </w:rPr>
        <w:t xml:space="preserve">benefit from </w:t>
      </w:r>
      <w:r>
        <w:rPr>
          <w:sz w:val="24"/>
          <w:szCs w:val="24"/>
          <w:lang w:val="en-GB"/>
        </w:rPr>
        <w:t xml:space="preserve">the </w:t>
      </w:r>
      <w:r w:rsidRPr="007A4951">
        <w:rPr>
          <w:sz w:val="24"/>
          <w:szCs w:val="24"/>
          <w:lang w:val="en-GB"/>
        </w:rPr>
        <w:t>expressive features</w:t>
      </w:r>
      <w:r>
        <w:rPr>
          <w:sz w:val="24"/>
          <w:szCs w:val="24"/>
          <w:lang w:val="en-GB"/>
        </w:rPr>
        <w:t xml:space="preserve"> of the works of art,</w:t>
      </w:r>
      <w:r w:rsidRPr="007A4951">
        <w:rPr>
          <w:sz w:val="24"/>
          <w:szCs w:val="24"/>
          <w:lang w:val="en-GB"/>
        </w:rPr>
        <w:t xml:space="preserve"> but to extract</w:t>
      </w:r>
      <w:r>
        <w:rPr>
          <w:sz w:val="24"/>
          <w:szCs w:val="24"/>
          <w:lang w:val="en-GB"/>
        </w:rPr>
        <w:t xml:space="preserve"> information </w:t>
      </w:r>
      <w:r w:rsidRPr="00D043A6">
        <w:rPr>
          <w:sz w:val="24"/>
          <w:szCs w:val="24"/>
          <w:lang w:val="en-GB"/>
        </w:rPr>
        <w:t xml:space="preserve">from </w:t>
      </w:r>
      <w:r>
        <w:rPr>
          <w:sz w:val="24"/>
          <w:szCs w:val="24"/>
          <w:lang w:val="en-GB"/>
        </w:rPr>
        <w:t xml:space="preserve">their </w:t>
      </w:r>
      <w:r w:rsidRPr="00D043A6">
        <w:rPr>
          <w:sz w:val="24"/>
          <w:szCs w:val="24"/>
          <w:lang w:val="en-GB"/>
        </w:rPr>
        <w:t>content and about the</w:t>
      </w:r>
      <w:r>
        <w:rPr>
          <w:sz w:val="24"/>
          <w:szCs w:val="24"/>
          <w:lang w:val="en-GB"/>
        </w:rPr>
        <w:t>ir</w:t>
      </w:r>
      <w:r w:rsidRPr="00D043A6">
        <w:rPr>
          <w:sz w:val="24"/>
          <w:szCs w:val="24"/>
          <w:lang w:val="en-GB"/>
        </w:rPr>
        <w:t xml:space="preserve"> content that </w:t>
      </w:r>
      <w:r w:rsidRPr="001B14F1">
        <w:rPr>
          <w:i/>
          <w:sz w:val="24"/>
          <w:szCs w:val="24"/>
          <w:lang w:val="en-GB"/>
        </w:rPr>
        <w:t>per se</w:t>
      </w:r>
      <w:r w:rsidRPr="00D043A6">
        <w:rPr>
          <w:sz w:val="24"/>
          <w:szCs w:val="24"/>
          <w:lang w:val="en-GB"/>
        </w:rPr>
        <w:t xml:space="preserve"> falls outside the scope of </w:t>
      </w:r>
      <w:r>
        <w:rPr>
          <w:sz w:val="24"/>
          <w:szCs w:val="24"/>
          <w:lang w:val="en-GB"/>
        </w:rPr>
        <w:t xml:space="preserve">copyright </w:t>
      </w:r>
      <w:r w:rsidRPr="00D043A6">
        <w:rPr>
          <w:sz w:val="24"/>
          <w:szCs w:val="24"/>
          <w:lang w:val="en-GB"/>
        </w:rPr>
        <w:t xml:space="preserve">protection. In a recent document published by </w:t>
      </w:r>
      <w:r>
        <w:rPr>
          <w:sz w:val="24"/>
          <w:szCs w:val="24"/>
          <w:lang w:val="en-GB"/>
        </w:rPr>
        <w:t xml:space="preserve">the </w:t>
      </w:r>
      <w:r w:rsidRPr="00D043A6">
        <w:rPr>
          <w:sz w:val="24"/>
          <w:szCs w:val="24"/>
          <w:lang w:val="en-GB"/>
        </w:rPr>
        <w:t xml:space="preserve">WIPO, </w:t>
      </w:r>
      <w:r>
        <w:rPr>
          <w:sz w:val="24"/>
          <w:szCs w:val="24"/>
          <w:lang w:val="en-GB"/>
        </w:rPr>
        <w:t xml:space="preserve">a </w:t>
      </w:r>
      <w:r w:rsidRPr="00D043A6">
        <w:rPr>
          <w:sz w:val="24"/>
          <w:szCs w:val="24"/>
          <w:lang w:val="en-GB"/>
        </w:rPr>
        <w:t>“Draft issues paper on intellectual property policy and artificial intelligence”</w:t>
      </w:r>
      <w:r>
        <w:rPr>
          <w:sz w:val="24"/>
          <w:szCs w:val="24"/>
          <w:lang w:val="en-GB"/>
        </w:rPr>
        <w:t>,</w:t>
      </w:r>
      <w:r w:rsidRPr="003556BB">
        <w:rPr>
          <w:rStyle w:val="Rimandonotaapidipagina"/>
          <w:sz w:val="24"/>
          <w:szCs w:val="24"/>
          <w:lang w:val="en-GB"/>
        </w:rPr>
        <w:t xml:space="preserve"> </w:t>
      </w:r>
      <w:r w:rsidRPr="00D043A6">
        <w:rPr>
          <w:rStyle w:val="Rimandonotaapidipagina"/>
          <w:sz w:val="24"/>
          <w:szCs w:val="24"/>
          <w:lang w:val="en-GB"/>
        </w:rPr>
        <w:footnoteReference w:id="18"/>
      </w:r>
      <w:r w:rsidRPr="00D043A6">
        <w:rPr>
          <w:sz w:val="24"/>
          <w:szCs w:val="24"/>
          <w:lang w:val="en-GB"/>
        </w:rPr>
        <w:t xml:space="preserve"> the conflict between copyright and the development of AI is specifically raised using interesting and ambiguous </w:t>
      </w:r>
      <w:r w:rsidRPr="00D043A6">
        <w:rPr>
          <w:sz w:val="24"/>
          <w:szCs w:val="24"/>
          <w:lang w:val="en-GB"/>
        </w:rPr>
        <w:lastRenderedPageBreak/>
        <w:t>expressions such as “data subsisting in copyright” or “data protected by copyright”</w:t>
      </w:r>
      <w:r>
        <w:rPr>
          <w:sz w:val="24"/>
          <w:szCs w:val="24"/>
          <w:lang w:val="en-GB"/>
        </w:rPr>
        <w:t>.</w:t>
      </w:r>
      <w:r>
        <w:rPr>
          <w:rStyle w:val="Rimandonotaapidipagina"/>
          <w:sz w:val="24"/>
          <w:szCs w:val="24"/>
          <w:lang w:val="en-GB"/>
        </w:rPr>
        <w:footnoteReference w:id="19"/>
      </w:r>
      <w:r w:rsidRPr="00D043A6">
        <w:rPr>
          <w:sz w:val="24"/>
          <w:szCs w:val="24"/>
          <w:lang w:val="en-GB"/>
        </w:rPr>
        <w:t xml:space="preserve"> Indeed, from the point of view of the </w:t>
      </w:r>
      <w:r>
        <w:rPr>
          <w:sz w:val="24"/>
          <w:szCs w:val="24"/>
          <w:lang w:val="en-GB"/>
        </w:rPr>
        <w:t>person</w:t>
      </w:r>
      <w:r w:rsidRPr="00D043A6">
        <w:rPr>
          <w:sz w:val="24"/>
          <w:szCs w:val="24"/>
          <w:lang w:val="en-GB"/>
        </w:rPr>
        <w:t xml:space="preserve"> training an AI</w:t>
      </w:r>
      <w:r>
        <w:rPr>
          <w:sz w:val="24"/>
          <w:szCs w:val="24"/>
          <w:lang w:val="en-GB"/>
        </w:rPr>
        <w:t xml:space="preserve"> system</w:t>
      </w:r>
      <w:r w:rsidRPr="00D043A6">
        <w:rPr>
          <w:sz w:val="24"/>
          <w:szCs w:val="24"/>
          <w:lang w:val="en-GB"/>
        </w:rPr>
        <w:t xml:space="preserve">, copyrighted works are part of a data set and are not used </w:t>
      </w:r>
      <w:r>
        <w:rPr>
          <w:sz w:val="24"/>
          <w:szCs w:val="24"/>
          <w:lang w:val="en-GB"/>
        </w:rPr>
        <w:t xml:space="preserve">on account of </w:t>
      </w:r>
      <w:r w:rsidRPr="00D043A6">
        <w:rPr>
          <w:sz w:val="24"/>
          <w:szCs w:val="24"/>
          <w:lang w:val="en-GB"/>
        </w:rPr>
        <w:t>their expressi</w:t>
      </w:r>
      <w:r>
        <w:rPr>
          <w:sz w:val="24"/>
          <w:szCs w:val="24"/>
          <w:lang w:val="en-GB"/>
        </w:rPr>
        <w:t>ve</w:t>
      </w:r>
      <w:r w:rsidRPr="00D043A6">
        <w:rPr>
          <w:sz w:val="24"/>
          <w:szCs w:val="24"/>
          <w:lang w:val="en-GB"/>
        </w:rPr>
        <w:t xml:space="preserve"> features. </w:t>
      </w:r>
      <w:r>
        <w:rPr>
          <w:sz w:val="24"/>
          <w:szCs w:val="24"/>
          <w:lang w:val="en-GB"/>
        </w:rPr>
        <w:t>F</w:t>
      </w:r>
      <w:r w:rsidRPr="00D043A6">
        <w:rPr>
          <w:sz w:val="24"/>
          <w:szCs w:val="24"/>
          <w:lang w:val="en-GB"/>
        </w:rPr>
        <w:t>rom the point of view of the right</w:t>
      </w:r>
      <w:r>
        <w:rPr>
          <w:sz w:val="24"/>
          <w:szCs w:val="24"/>
          <w:lang w:val="en-GB"/>
        </w:rPr>
        <w:t xml:space="preserve"> </w:t>
      </w:r>
      <w:r w:rsidRPr="00D043A6">
        <w:rPr>
          <w:sz w:val="24"/>
          <w:szCs w:val="24"/>
          <w:lang w:val="en-GB"/>
        </w:rPr>
        <w:t xml:space="preserve">holder, </w:t>
      </w:r>
      <w:r>
        <w:rPr>
          <w:sz w:val="24"/>
          <w:szCs w:val="24"/>
          <w:lang w:val="en-GB"/>
        </w:rPr>
        <w:t xml:space="preserve">on the other hand, </w:t>
      </w:r>
      <w:r w:rsidRPr="00D043A6">
        <w:rPr>
          <w:sz w:val="24"/>
          <w:szCs w:val="24"/>
          <w:lang w:val="en-GB"/>
        </w:rPr>
        <w:t xml:space="preserve">it is because of its expressive elements that a work </w:t>
      </w:r>
      <w:proofErr w:type="gramStart"/>
      <w:r w:rsidRPr="00D043A6">
        <w:rPr>
          <w:sz w:val="24"/>
          <w:szCs w:val="24"/>
          <w:lang w:val="en-GB"/>
        </w:rPr>
        <w:t>is able to</w:t>
      </w:r>
      <w:proofErr w:type="gramEnd"/>
      <w:r w:rsidRPr="00D043A6">
        <w:rPr>
          <w:sz w:val="24"/>
          <w:szCs w:val="24"/>
          <w:lang w:val="en-GB"/>
        </w:rPr>
        <w:t xml:space="preserve"> become a repository of data</w:t>
      </w:r>
      <w:r>
        <w:rPr>
          <w:sz w:val="24"/>
          <w:szCs w:val="24"/>
          <w:lang w:val="en-GB"/>
        </w:rPr>
        <w:t>.</w:t>
      </w:r>
      <w:r w:rsidRPr="00D043A6">
        <w:rPr>
          <w:rStyle w:val="Rimandonotaapidipagina"/>
          <w:sz w:val="24"/>
          <w:szCs w:val="24"/>
          <w:lang w:val="en-GB"/>
        </w:rPr>
        <w:footnoteReference w:id="20"/>
      </w:r>
      <w:r>
        <w:rPr>
          <w:sz w:val="24"/>
          <w:szCs w:val="24"/>
          <w:lang w:val="en-GB"/>
        </w:rPr>
        <w:t xml:space="preserve"> </w:t>
      </w:r>
    </w:p>
    <w:p w14:paraId="077B74FC" w14:textId="77777777" w:rsidR="00651F9B" w:rsidRDefault="00651F9B" w:rsidP="00651F9B">
      <w:pPr>
        <w:ind w:firstLine="397"/>
        <w:jc w:val="both"/>
        <w:rPr>
          <w:sz w:val="24"/>
          <w:szCs w:val="24"/>
          <w:lang w:val="en-GB"/>
        </w:rPr>
      </w:pPr>
      <w:r>
        <w:rPr>
          <w:sz w:val="24"/>
          <w:szCs w:val="24"/>
          <w:lang w:val="en-GB"/>
        </w:rPr>
        <w:t xml:space="preserve">The activity of reading and studying a work does not cause </w:t>
      </w:r>
      <w:proofErr w:type="gramStart"/>
      <w:r>
        <w:rPr>
          <w:sz w:val="24"/>
          <w:szCs w:val="24"/>
          <w:lang w:val="en-GB"/>
        </w:rPr>
        <w:t>particular problems</w:t>
      </w:r>
      <w:proofErr w:type="gramEnd"/>
      <w:r>
        <w:rPr>
          <w:sz w:val="24"/>
          <w:szCs w:val="24"/>
          <w:lang w:val="en-GB"/>
        </w:rPr>
        <w:t xml:space="preserve"> if it is undertaken by a human being, but when it is carried out by a machine in an automated process, it may infringe copyright. This is because, when</w:t>
      </w:r>
      <w:r w:rsidRPr="00E26B17">
        <w:rPr>
          <w:sz w:val="24"/>
          <w:szCs w:val="24"/>
          <w:lang w:val="en-GB"/>
        </w:rPr>
        <w:t xml:space="preserve"> </w:t>
      </w:r>
      <w:r>
        <w:rPr>
          <w:sz w:val="24"/>
          <w:szCs w:val="24"/>
          <w:lang w:val="en-GB"/>
        </w:rPr>
        <w:t>an automated process acts on</w:t>
      </w:r>
      <w:r w:rsidRPr="00E26B17">
        <w:rPr>
          <w:sz w:val="24"/>
          <w:szCs w:val="24"/>
          <w:lang w:val="en-GB"/>
        </w:rPr>
        <w:t xml:space="preserve"> </w:t>
      </w:r>
      <w:r>
        <w:rPr>
          <w:sz w:val="24"/>
          <w:szCs w:val="24"/>
          <w:lang w:val="en-GB"/>
        </w:rPr>
        <w:t>copyrighted works</w:t>
      </w:r>
      <w:r w:rsidRPr="00E26B17">
        <w:rPr>
          <w:sz w:val="24"/>
          <w:szCs w:val="24"/>
          <w:lang w:val="en-GB"/>
        </w:rPr>
        <w:t xml:space="preserve"> </w:t>
      </w:r>
      <w:proofErr w:type="gramStart"/>
      <w:r w:rsidRPr="00E26B17">
        <w:rPr>
          <w:sz w:val="24"/>
          <w:szCs w:val="24"/>
          <w:lang w:val="en-GB"/>
        </w:rPr>
        <w:t>in order to</w:t>
      </w:r>
      <w:proofErr w:type="gramEnd"/>
      <w:r w:rsidRPr="00E26B17">
        <w:rPr>
          <w:sz w:val="24"/>
          <w:szCs w:val="24"/>
          <w:lang w:val="en-GB"/>
        </w:rPr>
        <w:t xml:space="preserve"> extract the non-protected information</w:t>
      </w:r>
      <w:r>
        <w:rPr>
          <w:sz w:val="24"/>
          <w:szCs w:val="24"/>
          <w:lang w:val="en-GB"/>
        </w:rPr>
        <w:t>, in most cases</w:t>
      </w:r>
      <w:r w:rsidRPr="00E26B17">
        <w:rPr>
          <w:sz w:val="24"/>
          <w:szCs w:val="24"/>
          <w:lang w:val="en-GB"/>
        </w:rPr>
        <w:t xml:space="preserve"> it has to create </w:t>
      </w:r>
      <w:r>
        <w:rPr>
          <w:sz w:val="24"/>
          <w:szCs w:val="24"/>
          <w:lang w:val="en-GB"/>
        </w:rPr>
        <w:t>a</w:t>
      </w:r>
      <w:r w:rsidRPr="00E26B17">
        <w:rPr>
          <w:sz w:val="24"/>
          <w:szCs w:val="24"/>
          <w:lang w:val="en-GB"/>
        </w:rPr>
        <w:t xml:space="preserve"> reproduction of the </w:t>
      </w:r>
      <w:r>
        <w:rPr>
          <w:sz w:val="24"/>
          <w:szCs w:val="24"/>
          <w:lang w:val="en-GB"/>
        </w:rPr>
        <w:t>works concerned</w:t>
      </w:r>
      <w:r w:rsidRPr="00E26B17">
        <w:rPr>
          <w:sz w:val="24"/>
          <w:szCs w:val="24"/>
          <w:lang w:val="en-GB"/>
        </w:rPr>
        <w:t>. Th</w:t>
      </w:r>
      <w:r>
        <w:rPr>
          <w:sz w:val="24"/>
          <w:szCs w:val="24"/>
          <w:lang w:val="en-GB"/>
        </w:rPr>
        <w:t>is</w:t>
      </w:r>
      <w:r w:rsidRPr="00E26B17">
        <w:rPr>
          <w:sz w:val="24"/>
          <w:szCs w:val="24"/>
          <w:lang w:val="en-GB"/>
        </w:rPr>
        <w:t xml:space="preserve"> is the moment when</w:t>
      </w:r>
      <w:r>
        <w:rPr>
          <w:sz w:val="24"/>
          <w:szCs w:val="24"/>
          <w:lang w:val="en-GB"/>
        </w:rPr>
        <w:t xml:space="preserve"> </w:t>
      </w:r>
      <w:r w:rsidRPr="00E26B17">
        <w:rPr>
          <w:sz w:val="24"/>
          <w:szCs w:val="24"/>
          <w:lang w:val="en-GB"/>
        </w:rPr>
        <w:t>copyright</w:t>
      </w:r>
      <w:r>
        <w:rPr>
          <w:sz w:val="24"/>
          <w:szCs w:val="24"/>
          <w:lang w:val="en-GB"/>
        </w:rPr>
        <w:t xml:space="preserve"> enters the framework</w:t>
      </w:r>
      <w:r w:rsidRPr="00E26B17">
        <w:rPr>
          <w:sz w:val="24"/>
          <w:szCs w:val="24"/>
          <w:lang w:val="en-GB"/>
        </w:rPr>
        <w:t xml:space="preserve">, as </w:t>
      </w:r>
      <w:r>
        <w:rPr>
          <w:sz w:val="24"/>
          <w:szCs w:val="24"/>
          <w:lang w:val="en-GB"/>
        </w:rPr>
        <w:t>A</w:t>
      </w:r>
      <w:r w:rsidRPr="00E26B17">
        <w:rPr>
          <w:sz w:val="24"/>
          <w:szCs w:val="24"/>
          <w:lang w:val="en-GB"/>
        </w:rPr>
        <w:t xml:space="preserve">rt. 2 </w:t>
      </w:r>
      <w:r>
        <w:rPr>
          <w:sz w:val="24"/>
          <w:szCs w:val="24"/>
          <w:lang w:val="en-GB"/>
        </w:rPr>
        <w:t>of Directive 2001/29 (</w:t>
      </w:r>
      <w:proofErr w:type="spellStart"/>
      <w:r w:rsidRPr="00E26B17">
        <w:rPr>
          <w:sz w:val="24"/>
          <w:szCs w:val="24"/>
          <w:lang w:val="en-GB"/>
        </w:rPr>
        <w:t>Info</w:t>
      </w:r>
      <w:r>
        <w:rPr>
          <w:sz w:val="24"/>
          <w:szCs w:val="24"/>
          <w:lang w:val="en-GB"/>
        </w:rPr>
        <w:t>s</w:t>
      </w:r>
      <w:r w:rsidRPr="00E26B17">
        <w:rPr>
          <w:sz w:val="24"/>
          <w:szCs w:val="24"/>
          <w:lang w:val="en-GB"/>
        </w:rPr>
        <w:t>oc</w:t>
      </w:r>
      <w:proofErr w:type="spellEnd"/>
      <w:r>
        <w:rPr>
          <w:sz w:val="24"/>
          <w:szCs w:val="24"/>
          <w:lang w:val="en-GB"/>
        </w:rPr>
        <w:t xml:space="preserve"> </w:t>
      </w:r>
      <w:r w:rsidRPr="00E26B17">
        <w:rPr>
          <w:sz w:val="24"/>
          <w:szCs w:val="24"/>
          <w:lang w:val="en-GB"/>
        </w:rPr>
        <w:t>Dir</w:t>
      </w:r>
      <w:r>
        <w:rPr>
          <w:sz w:val="24"/>
          <w:szCs w:val="24"/>
          <w:lang w:val="en-GB"/>
        </w:rPr>
        <w:t>ective)</w:t>
      </w:r>
      <w:r w:rsidRPr="00E26B17">
        <w:rPr>
          <w:sz w:val="24"/>
          <w:szCs w:val="24"/>
          <w:lang w:val="en-GB"/>
        </w:rPr>
        <w:t xml:space="preserve"> </w:t>
      </w:r>
      <w:r>
        <w:rPr>
          <w:sz w:val="24"/>
          <w:szCs w:val="24"/>
          <w:lang w:val="en-GB"/>
        </w:rPr>
        <w:t xml:space="preserve">grants </w:t>
      </w:r>
      <w:r w:rsidRPr="00E26B17">
        <w:rPr>
          <w:sz w:val="24"/>
          <w:szCs w:val="24"/>
          <w:lang w:val="en-GB"/>
        </w:rPr>
        <w:t>the right</w:t>
      </w:r>
      <w:r>
        <w:rPr>
          <w:sz w:val="24"/>
          <w:szCs w:val="24"/>
          <w:lang w:val="en-GB"/>
        </w:rPr>
        <w:t xml:space="preserve"> </w:t>
      </w:r>
      <w:r w:rsidRPr="00E26B17">
        <w:rPr>
          <w:sz w:val="24"/>
          <w:szCs w:val="24"/>
          <w:lang w:val="en-GB"/>
        </w:rPr>
        <w:t>holder an exclusive</w:t>
      </w:r>
      <w:r>
        <w:rPr>
          <w:sz w:val="24"/>
          <w:szCs w:val="24"/>
          <w:lang w:val="en-GB"/>
        </w:rPr>
        <w:t xml:space="preserve"> </w:t>
      </w:r>
      <w:r w:rsidRPr="00E26B17">
        <w:rPr>
          <w:sz w:val="24"/>
          <w:szCs w:val="24"/>
          <w:lang w:val="en-GB"/>
        </w:rPr>
        <w:t>right</w:t>
      </w:r>
      <w:r>
        <w:rPr>
          <w:sz w:val="24"/>
          <w:szCs w:val="24"/>
          <w:lang w:val="en-GB"/>
        </w:rPr>
        <w:t xml:space="preserve"> of reproduction.</w:t>
      </w:r>
    </w:p>
    <w:p w14:paraId="2643AD9B" w14:textId="2C3BBB8D" w:rsidR="00651F9B" w:rsidRDefault="00651F9B" w:rsidP="00651F9B">
      <w:pPr>
        <w:ind w:firstLine="397"/>
        <w:jc w:val="both"/>
        <w:rPr>
          <w:sz w:val="24"/>
          <w:szCs w:val="24"/>
          <w:lang w:val="en-GB"/>
        </w:rPr>
      </w:pPr>
      <w:r>
        <w:rPr>
          <w:sz w:val="24"/>
          <w:szCs w:val="24"/>
          <w:lang w:val="en-GB"/>
        </w:rPr>
        <w:t xml:space="preserve">TDM may consist in the extraction and reproduction of a database protected by copyright or by </w:t>
      </w:r>
      <w:r w:rsidRPr="004975BD">
        <w:rPr>
          <w:i/>
          <w:iCs/>
          <w:sz w:val="24"/>
          <w:szCs w:val="24"/>
          <w:lang w:val="en-GB"/>
        </w:rPr>
        <w:t>sui generis</w:t>
      </w:r>
      <w:r>
        <w:rPr>
          <w:sz w:val="24"/>
          <w:szCs w:val="24"/>
          <w:lang w:val="en-GB"/>
        </w:rPr>
        <w:t xml:space="preserve"> rights. Particularly in the case of </w:t>
      </w:r>
      <w:r w:rsidRPr="004975BD">
        <w:rPr>
          <w:i/>
          <w:iCs/>
          <w:sz w:val="24"/>
          <w:szCs w:val="24"/>
          <w:lang w:val="en-GB"/>
        </w:rPr>
        <w:t>sui generis</w:t>
      </w:r>
      <w:r>
        <w:rPr>
          <w:sz w:val="24"/>
          <w:szCs w:val="24"/>
          <w:lang w:val="en-GB"/>
        </w:rPr>
        <w:t xml:space="preserve"> rights, </w:t>
      </w:r>
      <w:r w:rsidR="005B265F" w:rsidRPr="005B265F">
        <w:rPr>
          <w:sz w:val="24"/>
          <w:szCs w:val="24"/>
          <w:lang w:val="en-GB"/>
        </w:rPr>
        <w:t>the interference with data mining is significant and not connected to mere technical reasons</w:t>
      </w:r>
      <w:r>
        <w:rPr>
          <w:sz w:val="24"/>
          <w:szCs w:val="24"/>
          <w:lang w:val="en-GB"/>
        </w:rPr>
        <w:t xml:space="preserve">. This form of protection is more </w:t>
      </w:r>
      <w:proofErr w:type="gramStart"/>
      <w:r>
        <w:rPr>
          <w:sz w:val="24"/>
          <w:szCs w:val="24"/>
          <w:lang w:val="en-GB"/>
        </w:rPr>
        <w:t>closely linked</w:t>
      </w:r>
      <w:proofErr w:type="gramEnd"/>
      <w:r>
        <w:rPr>
          <w:sz w:val="24"/>
          <w:szCs w:val="24"/>
          <w:lang w:val="en-GB"/>
        </w:rPr>
        <w:t xml:space="preserve"> to the market use of data because: 1) protection is granted in consideration of the</w:t>
      </w:r>
      <w:r w:rsidRPr="009F0972">
        <w:rPr>
          <w:sz w:val="24"/>
          <w:szCs w:val="24"/>
          <w:lang w:val="en-GB"/>
        </w:rPr>
        <w:t xml:space="preserve"> </w:t>
      </w:r>
      <w:r>
        <w:rPr>
          <w:sz w:val="24"/>
          <w:szCs w:val="24"/>
          <w:lang w:val="en-GB"/>
        </w:rPr>
        <w:t>“</w:t>
      </w:r>
      <w:r w:rsidRPr="009F0972">
        <w:rPr>
          <w:sz w:val="24"/>
          <w:szCs w:val="24"/>
          <w:lang w:val="en-GB"/>
        </w:rPr>
        <w:t>substantial investment in either the obtaining, verification or presentation of the contents</w:t>
      </w:r>
      <w:r>
        <w:rPr>
          <w:sz w:val="24"/>
          <w:szCs w:val="24"/>
          <w:lang w:val="en-GB"/>
        </w:rPr>
        <w:t>”;</w:t>
      </w:r>
      <w:r>
        <w:rPr>
          <w:rStyle w:val="Rimandonotaapidipagina"/>
          <w:sz w:val="24"/>
          <w:szCs w:val="24"/>
          <w:lang w:val="en-GB"/>
        </w:rPr>
        <w:footnoteReference w:id="21"/>
      </w:r>
      <w:r>
        <w:rPr>
          <w:sz w:val="24"/>
          <w:szCs w:val="24"/>
          <w:lang w:val="en-GB"/>
        </w:rPr>
        <w:t xml:space="preserve"> 2) the exclusive right reserved to the database owner is the right to prevent extractions and re-utilizations </w:t>
      </w:r>
      <w:r w:rsidRPr="009F0972">
        <w:rPr>
          <w:sz w:val="24"/>
          <w:szCs w:val="24"/>
          <w:lang w:val="en-GB"/>
        </w:rPr>
        <w:t>of the whole or of a substantial part</w:t>
      </w:r>
      <w:r>
        <w:rPr>
          <w:sz w:val="24"/>
          <w:szCs w:val="24"/>
          <w:lang w:val="en-GB"/>
        </w:rPr>
        <w:t xml:space="preserve"> of the contents.</w:t>
      </w:r>
      <w:r>
        <w:rPr>
          <w:rStyle w:val="Rimandonotaapidipagina"/>
          <w:sz w:val="24"/>
          <w:szCs w:val="24"/>
          <w:lang w:val="en-GB"/>
        </w:rPr>
        <w:footnoteReference w:id="22"/>
      </w:r>
      <w:r>
        <w:rPr>
          <w:sz w:val="24"/>
          <w:szCs w:val="24"/>
          <w:lang w:val="en-GB"/>
        </w:rPr>
        <w:t xml:space="preserve"> </w:t>
      </w:r>
    </w:p>
    <w:p w14:paraId="0D67E6C8" w14:textId="0824A039" w:rsidR="00651F9B" w:rsidRDefault="00651F9B" w:rsidP="00651F9B">
      <w:pPr>
        <w:ind w:firstLine="397"/>
        <w:jc w:val="both"/>
        <w:rPr>
          <w:sz w:val="24"/>
          <w:szCs w:val="24"/>
          <w:lang w:val="en-GB"/>
        </w:rPr>
      </w:pPr>
      <w:r>
        <w:rPr>
          <w:sz w:val="24"/>
          <w:szCs w:val="24"/>
          <w:lang w:val="en-GB"/>
        </w:rPr>
        <w:t xml:space="preserve">It should also be mentioned that TDM may involve data that does not fall within the protection of copyright or of the </w:t>
      </w:r>
      <w:r w:rsidRPr="00B6099C">
        <w:rPr>
          <w:sz w:val="24"/>
          <w:szCs w:val="24"/>
          <w:lang w:val="en-GB"/>
        </w:rPr>
        <w:t xml:space="preserve">database </w:t>
      </w:r>
      <w:r w:rsidRPr="004975BD">
        <w:rPr>
          <w:i/>
          <w:iCs/>
          <w:sz w:val="24"/>
          <w:szCs w:val="24"/>
          <w:lang w:val="en-GB"/>
        </w:rPr>
        <w:t>sui generis</w:t>
      </w:r>
      <w:r w:rsidRPr="00B6099C">
        <w:rPr>
          <w:sz w:val="24"/>
          <w:szCs w:val="24"/>
          <w:lang w:val="en-GB"/>
        </w:rPr>
        <w:t xml:space="preserve"> right. </w:t>
      </w:r>
      <w:r>
        <w:rPr>
          <w:sz w:val="24"/>
          <w:szCs w:val="24"/>
          <w:lang w:val="en-GB"/>
        </w:rPr>
        <w:t>However, t</w:t>
      </w:r>
      <w:r w:rsidRPr="00B6099C">
        <w:rPr>
          <w:sz w:val="24"/>
          <w:szCs w:val="24"/>
          <w:lang w:val="en-GB"/>
        </w:rPr>
        <w:t xml:space="preserve">he absence of protection under these forms of </w:t>
      </w:r>
      <w:r>
        <w:rPr>
          <w:sz w:val="24"/>
          <w:szCs w:val="24"/>
          <w:lang w:val="en-GB"/>
        </w:rPr>
        <w:t>IPR</w:t>
      </w:r>
      <w:r w:rsidRPr="00B6099C">
        <w:rPr>
          <w:rStyle w:val="Rimandonotaapidipagina"/>
          <w:sz w:val="24"/>
          <w:szCs w:val="24"/>
          <w:lang w:val="en-GB"/>
        </w:rPr>
        <w:footnoteReference w:id="23"/>
      </w:r>
      <w:r w:rsidRPr="00B6099C">
        <w:rPr>
          <w:sz w:val="24"/>
          <w:szCs w:val="24"/>
          <w:lang w:val="en-GB"/>
        </w:rPr>
        <w:t xml:space="preserve"> does not exclude the possibility </w:t>
      </w:r>
      <w:r>
        <w:rPr>
          <w:sz w:val="24"/>
          <w:szCs w:val="24"/>
          <w:lang w:val="en-GB"/>
        </w:rPr>
        <w:t>of</w:t>
      </w:r>
      <w:r w:rsidRPr="00B6099C">
        <w:rPr>
          <w:sz w:val="24"/>
          <w:szCs w:val="24"/>
          <w:lang w:val="en-GB"/>
        </w:rPr>
        <w:t xml:space="preserve"> the owner impos</w:t>
      </w:r>
      <w:r>
        <w:rPr>
          <w:sz w:val="24"/>
          <w:szCs w:val="24"/>
          <w:lang w:val="en-GB"/>
        </w:rPr>
        <w:t>ing</w:t>
      </w:r>
      <w:r w:rsidRPr="00B6099C">
        <w:rPr>
          <w:sz w:val="24"/>
          <w:szCs w:val="24"/>
          <w:lang w:val="en-GB"/>
        </w:rPr>
        <w:t xml:space="preserve"> restrictions (</w:t>
      </w:r>
      <w:r w:rsidR="0005038F">
        <w:rPr>
          <w:sz w:val="24"/>
          <w:szCs w:val="24"/>
          <w:lang w:val="en-GB"/>
        </w:rPr>
        <w:t>also pertaining</w:t>
      </w:r>
      <w:r>
        <w:rPr>
          <w:sz w:val="24"/>
          <w:szCs w:val="24"/>
          <w:lang w:val="en-GB"/>
        </w:rPr>
        <w:t xml:space="preserve"> to </w:t>
      </w:r>
      <w:r w:rsidRPr="00B6099C">
        <w:rPr>
          <w:sz w:val="24"/>
          <w:szCs w:val="24"/>
          <w:lang w:val="en-GB"/>
        </w:rPr>
        <w:t>TDM) through contractual provisio</w:t>
      </w:r>
      <w:r w:rsidRPr="00491EC5">
        <w:rPr>
          <w:sz w:val="24"/>
          <w:szCs w:val="24"/>
          <w:lang w:val="en-GB"/>
        </w:rPr>
        <w:t>ns</w:t>
      </w:r>
      <w:r>
        <w:rPr>
          <w:sz w:val="24"/>
          <w:szCs w:val="24"/>
          <w:lang w:val="en-GB"/>
        </w:rPr>
        <w:t>.</w:t>
      </w:r>
      <w:r w:rsidRPr="00491EC5">
        <w:rPr>
          <w:rStyle w:val="Rimandonotaapidipagina"/>
          <w:sz w:val="24"/>
          <w:szCs w:val="24"/>
          <w:lang w:val="en-GB"/>
        </w:rPr>
        <w:footnoteReference w:id="24"/>
      </w:r>
      <w:r w:rsidRPr="007A4951">
        <w:rPr>
          <w:sz w:val="24"/>
          <w:szCs w:val="24"/>
          <w:lang w:val="en-GB"/>
        </w:rPr>
        <w:t xml:space="preserve"> </w:t>
      </w:r>
    </w:p>
    <w:p w14:paraId="660D4778" w14:textId="77777777" w:rsidR="00651F9B" w:rsidRPr="007A4951" w:rsidRDefault="00651F9B" w:rsidP="00651F9B">
      <w:pPr>
        <w:ind w:firstLine="397"/>
        <w:jc w:val="both"/>
        <w:rPr>
          <w:sz w:val="24"/>
          <w:szCs w:val="24"/>
          <w:lang w:val="en-GB"/>
        </w:rPr>
      </w:pPr>
      <w:r>
        <w:rPr>
          <w:sz w:val="24"/>
          <w:szCs w:val="24"/>
          <w:lang w:val="en-GB"/>
        </w:rPr>
        <w:t>In conclusion,</w:t>
      </w:r>
      <w:r w:rsidRPr="007A4951">
        <w:rPr>
          <w:sz w:val="24"/>
          <w:szCs w:val="24"/>
          <w:lang w:val="en-GB"/>
        </w:rPr>
        <w:t xml:space="preserve"> </w:t>
      </w:r>
      <w:r>
        <w:rPr>
          <w:sz w:val="24"/>
          <w:szCs w:val="24"/>
          <w:lang w:val="en-GB"/>
        </w:rPr>
        <w:t xml:space="preserve">from </w:t>
      </w:r>
      <w:r w:rsidRPr="007A4951">
        <w:rPr>
          <w:sz w:val="24"/>
          <w:szCs w:val="24"/>
          <w:lang w:val="en-GB"/>
        </w:rPr>
        <w:t xml:space="preserve">the point of view of intellectual property, TDM </w:t>
      </w:r>
      <w:r>
        <w:rPr>
          <w:sz w:val="24"/>
          <w:szCs w:val="24"/>
          <w:lang w:val="en-GB"/>
        </w:rPr>
        <w:t>may</w:t>
      </w:r>
      <w:r w:rsidRPr="007A4951">
        <w:rPr>
          <w:sz w:val="24"/>
          <w:szCs w:val="24"/>
          <w:lang w:val="en-GB"/>
        </w:rPr>
        <w:t xml:space="preserve"> be legally </w:t>
      </w:r>
      <w:r>
        <w:rPr>
          <w:sz w:val="24"/>
          <w:szCs w:val="24"/>
          <w:lang w:val="en-GB"/>
        </w:rPr>
        <w:t>undertaken</w:t>
      </w:r>
      <w:r w:rsidRPr="007A4951">
        <w:rPr>
          <w:sz w:val="24"/>
          <w:szCs w:val="24"/>
          <w:lang w:val="en-GB"/>
        </w:rPr>
        <w:t xml:space="preserve"> if either the authorization of the right</w:t>
      </w:r>
      <w:r>
        <w:rPr>
          <w:sz w:val="24"/>
          <w:szCs w:val="24"/>
          <w:lang w:val="en-GB"/>
        </w:rPr>
        <w:t xml:space="preserve"> </w:t>
      </w:r>
      <w:r w:rsidRPr="007A4951">
        <w:rPr>
          <w:sz w:val="24"/>
          <w:szCs w:val="24"/>
          <w:lang w:val="en-GB"/>
        </w:rPr>
        <w:t xml:space="preserve">holder </w:t>
      </w:r>
      <w:r>
        <w:rPr>
          <w:sz w:val="24"/>
          <w:szCs w:val="24"/>
          <w:lang w:val="en-GB"/>
        </w:rPr>
        <w:t xml:space="preserve">has been obtained </w:t>
      </w:r>
      <w:r w:rsidRPr="007A4951">
        <w:rPr>
          <w:sz w:val="24"/>
          <w:szCs w:val="24"/>
          <w:lang w:val="en-GB"/>
        </w:rPr>
        <w:t>or there is an exception covering such activities.</w:t>
      </w:r>
      <w:r>
        <w:rPr>
          <w:sz w:val="24"/>
          <w:szCs w:val="24"/>
          <w:lang w:val="en-GB"/>
        </w:rPr>
        <w:t xml:space="preserve"> As we shall see,</w:t>
      </w:r>
      <w:r w:rsidRPr="007A4951">
        <w:rPr>
          <w:sz w:val="24"/>
          <w:szCs w:val="24"/>
          <w:lang w:val="en-GB"/>
        </w:rPr>
        <w:t xml:space="preserve"> legal access to the work does not imply free access to </w:t>
      </w:r>
      <w:r>
        <w:rPr>
          <w:sz w:val="24"/>
          <w:szCs w:val="24"/>
          <w:lang w:val="en-GB"/>
        </w:rPr>
        <w:t xml:space="preserve">the </w:t>
      </w:r>
      <w:r w:rsidRPr="007A4951">
        <w:rPr>
          <w:sz w:val="24"/>
          <w:szCs w:val="24"/>
          <w:lang w:val="en-GB"/>
        </w:rPr>
        <w:t>data</w:t>
      </w:r>
      <w:r>
        <w:rPr>
          <w:sz w:val="24"/>
          <w:szCs w:val="24"/>
          <w:lang w:val="en-GB"/>
        </w:rPr>
        <w:t>.</w:t>
      </w:r>
      <w:r w:rsidRPr="007A4951">
        <w:rPr>
          <w:rStyle w:val="Rimandonotaapidipagina"/>
          <w:sz w:val="24"/>
          <w:szCs w:val="24"/>
          <w:lang w:val="en-GB"/>
        </w:rPr>
        <w:footnoteReference w:id="25"/>
      </w:r>
    </w:p>
    <w:p w14:paraId="267BA501" w14:textId="77777777" w:rsidR="00651F9B" w:rsidRPr="007A4951" w:rsidRDefault="00651F9B" w:rsidP="00651F9B">
      <w:pPr>
        <w:pStyle w:val="Paragrafoelenco"/>
        <w:ind w:left="360"/>
        <w:jc w:val="both"/>
        <w:rPr>
          <w:b/>
          <w:bCs/>
          <w:sz w:val="24"/>
          <w:szCs w:val="24"/>
          <w:lang w:val="en-GB"/>
        </w:rPr>
      </w:pPr>
      <w:r w:rsidRPr="007A4951">
        <w:rPr>
          <w:b/>
          <w:bCs/>
          <w:sz w:val="24"/>
          <w:szCs w:val="24"/>
          <w:lang w:val="en-GB"/>
        </w:rPr>
        <w:t>4. The legal framework before the advent of Directive (UE) 2019/790</w:t>
      </w:r>
    </w:p>
    <w:p w14:paraId="7075EC1B" w14:textId="2055DE40" w:rsidR="00651F9B" w:rsidRDefault="00651F9B" w:rsidP="00651F9B">
      <w:pPr>
        <w:ind w:firstLine="397"/>
        <w:jc w:val="both"/>
        <w:rPr>
          <w:sz w:val="24"/>
          <w:szCs w:val="24"/>
          <w:lang w:val="en-GB"/>
        </w:rPr>
      </w:pPr>
      <w:r w:rsidRPr="007A4951">
        <w:rPr>
          <w:sz w:val="24"/>
          <w:szCs w:val="24"/>
          <w:lang w:val="en-GB"/>
        </w:rPr>
        <w:t xml:space="preserve">Among the exceptions </w:t>
      </w:r>
      <w:r>
        <w:rPr>
          <w:sz w:val="24"/>
          <w:szCs w:val="24"/>
          <w:lang w:val="en-GB"/>
        </w:rPr>
        <w:t xml:space="preserve">and provisions </w:t>
      </w:r>
      <w:r w:rsidRPr="007A4951">
        <w:rPr>
          <w:sz w:val="24"/>
          <w:szCs w:val="24"/>
          <w:lang w:val="en-GB"/>
        </w:rPr>
        <w:t xml:space="preserve">already present in the European Union system before the coming into force of Directive 2019/79, the </w:t>
      </w:r>
      <w:r>
        <w:rPr>
          <w:sz w:val="24"/>
          <w:szCs w:val="24"/>
          <w:lang w:val="en-GB"/>
        </w:rPr>
        <w:t xml:space="preserve">most obvious </w:t>
      </w:r>
      <w:r w:rsidRPr="007A4951">
        <w:rPr>
          <w:sz w:val="24"/>
          <w:szCs w:val="24"/>
          <w:lang w:val="en-GB"/>
        </w:rPr>
        <w:t xml:space="preserve">is the </w:t>
      </w:r>
      <w:r w:rsidRPr="00702B5A">
        <w:rPr>
          <w:sz w:val="24"/>
          <w:szCs w:val="24"/>
          <w:lang w:val="en-GB"/>
        </w:rPr>
        <w:t>exception for temporary acts of reproduction</w:t>
      </w:r>
      <w:r w:rsidRPr="007A4951">
        <w:rPr>
          <w:sz w:val="24"/>
          <w:szCs w:val="24"/>
          <w:lang w:val="en-GB"/>
        </w:rPr>
        <w:t xml:space="preserve"> </w:t>
      </w:r>
      <w:r>
        <w:rPr>
          <w:sz w:val="24"/>
          <w:szCs w:val="24"/>
          <w:lang w:val="en-GB"/>
        </w:rPr>
        <w:t>contained</w:t>
      </w:r>
      <w:r w:rsidRPr="007A4951">
        <w:rPr>
          <w:sz w:val="24"/>
          <w:szCs w:val="24"/>
          <w:lang w:val="en-GB"/>
        </w:rPr>
        <w:t xml:space="preserve"> in </w:t>
      </w:r>
      <w:r>
        <w:rPr>
          <w:sz w:val="24"/>
          <w:szCs w:val="24"/>
          <w:lang w:val="en-GB"/>
        </w:rPr>
        <w:t>A</w:t>
      </w:r>
      <w:r w:rsidRPr="007A4951">
        <w:rPr>
          <w:sz w:val="24"/>
          <w:szCs w:val="24"/>
          <w:lang w:val="en-GB"/>
        </w:rPr>
        <w:t>rt. 5</w:t>
      </w:r>
      <w:r>
        <w:rPr>
          <w:sz w:val="24"/>
          <w:szCs w:val="24"/>
          <w:lang w:val="en-GB"/>
        </w:rPr>
        <w:t>.1</w:t>
      </w:r>
      <w:r w:rsidRPr="007A4951">
        <w:rPr>
          <w:sz w:val="24"/>
          <w:szCs w:val="24"/>
          <w:lang w:val="en-GB"/>
        </w:rPr>
        <w:t xml:space="preserve"> of Directive 2001/29</w:t>
      </w:r>
      <w:r>
        <w:rPr>
          <w:sz w:val="24"/>
          <w:szCs w:val="24"/>
          <w:lang w:val="en-GB"/>
        </w:rPr>
        <w:t xml:space="preserve"> (</w:t>
      </w:r>
      <w:proofErr w:type="spellStart"/>
      <w:r>
        <w:rPr>
          <w:sz w:val="24"/>
          <w:szCs w:val="24"/>
          <w:lang w:val="en-GB"/>
        </w:rPr>
        <w:t>Infosoc</w:t>
      </w:r>
      <w:proofErr w:type="spellEnd"/>
      <w:r>
        <w:rPr>
          <w:sz w:val="24"/>
          <w:szCs w:val="24"/>
          <w:lang w:val="en-GB"/>
        </w:rPr>
        <w:t xml:space="preserve"> Directive)</w:t>
      </w:r>
      <w:r w:rsidRPr="007A4951">
        <w:rPr>
          <w:sz w:val="24"/>
          <w:szCs w:val="24"/>
          <w:lang w:val="en-GB"/>
        </w:rPr>
        <w:t>.</w:t>
      </w:r>
      <w:r>
        <w:rPr>
          <w:sz w:val="24"/>
          <w:szCs w:val="24"/>
          <w:lang w:val="en-GB"/>
        </w:rPr>
        <w:t xml:space="preserve"> This is one of the </w:t>
      </w:r>
      <w:r>
        <w:rPr>
          <w:sz w:val="24"/>
          <w:szCs w:val="24"/>
          <w:lang w:val="en-GB"/>
        </w:rPr>
        <w:lastRenderedPageBreak/>
        <w:t>exceptions dealing with the problem of making copies in the context of</w:t>
      </w:r>
      <w:r w:rsidRPr="004D23C3">
        <w:rPr>
          <w:sz w:val="24"/>
          <w:szCs w:val="24"/>
          <w:lang w:val="en-GB"/>
        </w:rPr>
        <w:t xml:space="preserve"> digital technology</w:t>
      </w:r>
      <w:r>
        <w:rPr>
          <w:sz w:val="24"/>
          <w:szCs w:val="24"/>
          <w:lang w:val="en-GB"/>
        </w:rPr>
        <w:t>. The fact is that t</w:t>
      </w:r>
      <w:r w:rsidRPr="004D23C3">
        <w:rPr>
          <w:sz w:val="24"/>
          <w:szCs w:val="24"/>
          <w:lang w:val="en-GB"/>
        </w:rPr>
        <w:t>he online environment</w:t>
      </w:r>
      <w:r>
        <w:rPr>
          <w:sz w:val="24"/>
          <w:szCs w:val="24"/>
          <w:lang w:val="en-GB"/>
        </w:rPr>
        <w:t xml:space="preserve"> </w:t>
      </w:r>
      <w:r w:rsidRPr="004D23C3">
        <w:rPr>
          <w:sz w:val="24"/>
          <w:szCs w:val="24"/>
          <w:lang w:val="en-GB"/>
        </w:rPr>
        <w:t xml:space="preserve">generates recurrent situations where copying is a requirement </w:t>
      </w:r>
      <w:r>
        <w:rPr>
          <w:sz w:val="24"/>
          <w:szCs w:val="24"/>
          <w:lang w:val="en-GB"/>
        </w:rPr>
        <w:t>for engaging</w:t>
      </w:r>
      <w:r w:rsidRPr="004D23C3">
        <w:rPr>
          <w:sz w:val="24"/>
          <w:szCs w:val="24"/>
          <w:lang w:val="en-GB"/>
        </w:rPr>
        <w:t xml:space="preserve"> in acts</w:t>
      </w:r>
      <w:r>
        <w:rPr>
          <w:sz w:val="24"/>
          <w:szCs w:val="24"/>
          <w:lang w:val="en-GB"/>
        </w:rPr>
        <w:t xml:space="preserve"> such as </w:t>
      </w:r>
      <w:r w:rsidRPr="004D23C3">
        <w:rPr>
          <w:sz w:val="24"/>
          <w:szCs w:val="24"/>
          <w:lang w:val="en-GB"/>
        </w:rPr>
        <w:t xml:space="preserve">browsing </w:t>
      </w:r>
      <w:r>
        <w:rPr>
          <w:sz w:val="24"/>
          <w:szCs w:val="24"/>
          <w:lang w:val="en-GB"/>
        </w:rPr>
        <w:t>and caching,</w:t>
      </w:r>
      <w:r>
        <w:rPr>
          <w:rStyle w:val="Rimandonotaapidipagina"/>
          <w:sz w:val="24"/>
          <w:szCs w:val="24"/>
          <w:lang w:val="en-GB"/>
        </w:rPr>
        <w:footnoteReference w:id="26"/>
      </w:r>
      <w:r>
        <w:rPr>
          <w:sz w:val="24"/>
          <w:szCs w:val="24"/>
          <w:lang w:val="en-GB"/>
        </w:rPr>
        <w:t xml:space="preserve"> which are common and necessary steps in a technological process. The European legislator considered such situations when introducing the limitation and, </w:t>
      </w:r>
      <w:proofErr w:type="gramStart"/>
      <w:r w:rsidR="00F26EA6">
        <w:rPr>
          <w:sz w:val="24"/>
          <w:szCs w:val="24"/>
          <w:lang w:val="en-GB"/>
        </w:rPr>
        <w:t>takin</w:t>
      </w:r>
      <w:r>
        <w:rPr>
          <w:sz w:val="24"/>
          <w:szCs w:val="24"/>
          <w:lang w:val="en-GB"/>
        </w:rPr>
        <w:t xml:space="preserve">g </w:t>
      </w:r>
      <w:r w:rsidR="00F26EA6">
        <w:rPr>
          <w:sz w:val="24"/>
          <w:szCs w:val="24"/>
          <w:lang w:val="en-GB"/>
        </w:rPr>
        <w:t>into account</w:t>
      </w:r>
      <w:proofErr w:type="gramEnd"/>
      <w:r w:rsidR="00F26EA6">
        <w:rPr>
          <w:sz w:val="24"/>
          <w:szCs w:val="24"/>
          <w:lang w:val="en-GB"/>
        </w:rPr>
        <w:t xml:space="preserve"> </w:t>
      </w:r>
      <w:r>
        <w:rPr>
          <w:sz w:val="24"/>
          <w:szCs w:val="24"/>
          <w:lang w:val="en-GB"/>
        </w:rPr>
        <w:t xml:space="preserve">the common ground of the digital environment, it may be regarded as the closest to the context of TDM. Furthermore, it is the only mandatory exception in the </w:t>
      </w:r>
      <w:proofErr w:type="spellStart"/>
      <w:r>
        <w:rPr>
          <w:sz w:val="24"/>
          <w:szCs w:val="24"/>
          <w:lang w:val="en-GB"/>
        </w:rPr>
        <w:t>Infosoc</w:t>
      </w:r>
      <w:proofErr w:type="spellEnd"/>
      <w:r>
        <w:rPr>
          <w:sz w:val="24"/>
          <w:szCs w:val="24"/>
          <w:lang w:val="en-GB"/>
        </w:rPr>
        <w:t xml:space="preserve"> Directive and is </w:t>
      </w:r>
      <w:r w:rsidRPr="007C6468">
        <w:rPr>
          <w:sz w:val="24"/>
          <w:szCs w:val="24"/>
          <w:lang w:val="en-GB"/>
        </w:rPr>
        <w:t>implemented in all Member States in mostly identical wording</w:t>
      </w:r>
      <w:r>
        <w:rPr>
          <w:sz w:val="24"/>
          <w:szCs w:val="24"/>
          <w:lang w:val="en-GB"/>
        </w:rPr>
        <w:t>.</w:t>
      </w:r>
      <w:r>
        <w:rPr>
          <w:rStyle w:val="Rimandonotaapidipagina"/>
          <w:sz w:val="24"/>
          <w:szCs w:val="24"/>
          <w:lang w:val="en-GB"/>
        </w:rPr>
        <w:footnoteReference w:id="27"/>
      </w:r>
      <w:r>
        <w:rPr>
          <w:sz w:val="24"/>
          <w:szCs w:val="24"/>
          <w:lang w:val="en-GB"/>
        </w:rPr>
        <w:t xml:space="preserve"> </w:t>
      </w:r>
    </w:p>
    <w:p w14:paraId="76EFB25B" w14:textId="77777777" w:rsidR="00651F9B" w:rsidRDefault="00651F9B" w:rsidP="00651F9B">
      <w:pPr>
        <w:ind w:firstLine="397"/>
        <w:jc w:val="both"/>
        <w:rPr>
          <w:sz w:val="24"/>
          <w:szCs w:val="24"/>
          <w:lang w:val="en-GB"/>
        </w:rPr>
      </w:pPr>
      <w:r>
        <w:rPr>
          <w:sz w:val="24"/>
          <w:szCs w:val="24"/>
          <w:lang w:val="en-GB"/>
        </w:rPr>
        <w:t>Pursuant to this limitation, the reproduction of works is allowed without prior authorization in the presence of certain conditions which, according to the European Court of Justice, are cumulative</w:t>
      </w:r>
      <w:r>
        <w:rPr>
          <w:rStyle w:val="Rimandonotaapidipagina"/>
          <w:sz w:val="24"/>
          <w:szCs w:val="24"/>
          <w:lang w:val="en-GB"/>
        </w:rPr>
        <w:footnoteReference w:id="28"/>
      </w:r>
      <w:r>
        <w:rPr>
          <w:sz w:val="24"/>
          <w:szCs w:val="24"/>
          <w:lang w:val="en-GB"/>
        </w:rPr>
        <w:t xml:space="preserve"> and must be interpreted restrictively.</w:t>
      </w:r>
      <w:r>
        <w:rPr>
          <w:rStyle w:val="Rimandonotaapidipagina"/>
          <w:sz w:val="24"/>
          <w:szCs w:val="24"/>
          <w:lang w:val="en-GB"/>
        </w:rPr>
        <w:footnoteReference w:id="29"/>
      </w:r>
      <w:r>
        <w:rPr>
          <w:sz w:val="24"/>
          <w:szCs w:val="24"/>
          <w:lang w:val="en-GB"/>
        </w:rPr>
        <w:t xml:space="preserve"> The act</w:t>
      </w:r>
      <w:r w:rsidRPr="007A4951">
        <w:rPr>
          <w:sz w:val="24"/>
          <w:szCs w:val="24"/>
          <w:lang w:val="en-GB"/>
        </w:rPr>
        <w:t xml:space="preserve"> must be </w:t>
      </w:r>
      <w:proofErr w:type="spellStart"/>
      <w:r>
        <w:rPr>
          <w:sz w:val="24"/>
          <w:szCs w:val="24"/>
          <w:lang w:val="en-GB"/>
        </w:rPr>
        <w:t>i</w:t>
      </w:r>
      <w:proofErr w:type="spellEnd"/>
      <w:r>
        <w:rPr>
          <w:sz w:val="24"/>
          <w:szCs w:val="24"/>
          <w:lang w:val="en-GB"/>
        </w:rPr>
        <w:t xml:space="preserve">) </w:t>
      </w:r>
      <w:r w:rsidRPr="007A4951">
        <w:rPr>
          <w:sz w:val="24"/>
          <w:szCs w:val="24"/>
          <w:lang w:val="en-GB"/>
        </w:rPr>
        <w:t>temporary</w:t>
      </w:r>
      <w:r>
        <w:rPr>
          <w:sz w:val="24"/>
          <w:szCs w:val="24"/>
          <w:lang w:val="en-GB"/>
        </w:rPr>
        <w:t>, whether “</w:t>
      </w:r>
      <w:r w:rsidRPr="007A4951">
        <w:rPr>
          <w:sz w:val="24"/>
          <w:szCs w:val="24"/>
          <w:lang w:val="en-GB"/>
        </w:rPr>
        <w:t xml:space="preserve">transient or incidental”, </w:t>
      </w:r>
      <w:r>
        <w:rPr>
          <w:sz w:val="24"/>
          <w:szCs w:val="24"/>
          <w:lang w:val="en-GB"/>
        </w:rPr>
        <w:t xml:space="preserve"> ii) </w:t>
      </w:r>
      <w:r w:rsidRPr="007A4951">
        <w:rPr>
          <w:sz w:val="24"/>
          <w:szCs w:val="24"/>
          <w:lang w:val="en-GB"/>
        </w:rPr>
        <w:t xml:space="preserve">an “integral and essential part of a technological process”, </w:t>
      </w:r>
      <w:r>
        <w:rPr>
          <w:sz w:val="24"/>
          <w:szCs w:val="24"/>
          <w:lang w:val="en-GB"/>
        </w:rPr>
        <w:t>iii) performed with the</w:t>
      </w:r>
      <w:r w:rsidRPr="007A4951">
        <w:rPr>
          <w:sz w:val="24"/>
          <w:szCs w:val="24"/>
          <w:lang w:val="en-GB"/>
        </w:rPr>
        <w:t xml:space="preserve"> sole purpose </w:t>
      </w:r>
      <w:r>
        <w:rPr>
          <w:sz w:val="24"/>
          <w:szCs w:val="24"/>
          <w:lang w:val="en-GB"/>
        </w:rPr>
        <w:t>of enabling “</w:t>
      </w:r>
      <w:r w:rsidRPr="007A4951">
        <w:rPr>
          <w:sz w:val="24"/>
          <w:szCs w:val="24"/>
          <w:lang w:val="en-GB"/>
        </w:rPr>
        <w:t xml:space="preserve">a transmission in a network between third parties by an intermediary or a lawful use” and </w:t>
      </w:r>
      <w:r>
        <w:rPr>
          <w:sz w:val="24"/>
          <w:szCs w:val="24"/>
          <w:lang w:val="en-GB"/>
        </w:rPr>
        <w:t>iv) without any</w:t>
      </w:r>
      <w:r w:rsidRPr="007A4951">
        <w:rPr>
          <w:sz w:val="24"/>
          <w:szCs w:val="24"/>
          <w:lang w:val="en-GB"/>
        </w:rPr>
        <w:t xml:space="preserve"> independent economic significance. </w:t>
      </w:r>
    </w:p>
    <w:p w14:paraId="649A3249" w14:textId="77777777" w:rsidR="00651F9B" w:rsidRDefault="00651F9B" w:rsidP="00651F9B">
      <w:pPr>
        <w:ind w:firstLine="397"/>
        <w:jc w:val="both"/>
        <w:rPr>
          <w:sz w:val="24"/>
          <w:szCs w:val="24"/>
          <w:lang w:val="en-GB"/>
        </w:rPr>
      </w:pPr>
      <w:r>
        <w:rPr>
          <w:sz w:val="24"/>
          <w:szCs w:val="24"/>
          <w:lang w:val="en-GB"/>
        </w:rPr>
        <w:t xml:space="preserve">Whether this exception can apply to a TDM process depends on the technologies used and how it conforms to the above critical points. Among them, the necessary presence of a temporary act as transient or incidental is one of the most crucial. </w:t>
      </w:r>
      <w:r w:rsidRPr="00782BBB">
        <w:rPr>
          <w:sz w:val="24"/>
          <w:szCs w:val="24"/>
          <w:lang w:val="en-GB"/>
        </w:rPr>
        <w:t xml:space="preserve">In </w:t>
      </w:r>
      <w:r>
        <w:rPr>
          <w:sz w:val="24"/>
          <w:szCs w:val="24"/>
          <w:lang w:val="en-GB"/>
        </w:rPr>
        <w:t xml:space="preserve">its </w:t>
      </w:r>
      <w:proofErr w:type="spellStart"/>
      <w:r w:rsidRPr="00782BBB">
        <w:rPr>
          <w:sz w:val="24"/>
          <w:szCs w:val="24"/>
          <w:lang w:val="en-GB"/>
        </w:rPr>
        <w:t>Infopaq</w:t>
      </w:r>
      <w:proofErr w:type="spellEnd"/>
      <w:r w:rsidRPr="00782BBB">
        <w:rPr>
          <w:sz w:val="24"/>
          <w:szCs w:val="24"/>
          <w:lang w:val="en-GB"/>
        </w:rPr>
        <w:t xml:space="preserve"> I</w:t>
      </w:r>
      <w:r>
        <w:rPr>
          <w:sz w:val="24"/>
          <w:szCs w:val="24"/>
          <w:lang w:val="en-GB"/>
        </w:rPr>
        <w:t xml:space="preserve"> Decision</w:t>
      </w:r>
      <w:r w:rsidRPr="00782BBB">
        <w:rPr>
          <w:sz w:val="24"/>
          <w:szCs w:val="24"/>
          <w:lang w:val="en-GB"/>
        </w:rPr>
        <w:t>, the Court of Justice stated that an act is transient “only if its duration is limited to what is necessary for the proper completion of the technological process of which it forms an integral and essential part, being understood that that process must be automated so that it deletes that act automatically, without human intervention, once its function of enabling the completion of such a process has come to an end”</w:t>
      </w:r>
      <w:r>
        <w:rPr>
          <w:sz w:val="24"/>
          <w:szCs w:val="24"/>
          <w:lang w:val="en-GB"/>
        </w:rPr>
        <w:t>.</w:t>
      </w:r>
      <w:r>
        <w:rPr>
          <w:rStyle w:val="Rimandonotaapidipagina"/>
          <w:sz w:val="24"/>
          <w:szCs w:val="24"/>
          <w:lang w:val="en-GB"/>
        </w:rPr>
        <w:footnoteReference w:id="30"/>
      </w:r>
      <w:r w:rsidRPr="00782BBB">
        <w:rPr>
          <w:sz w:val="24"/>
          <w:szCs w:val="24"/>
          <w:lang w:val="en-GB"/>
        </w:rPr>
        <w:t xml:space="preserve"> On the </w:t>
      </w:r>
      <w:r>
        <w:rPr>
          <w:sz w:val="24"/>
          <w:szCs w:val="24"/>
          <w:lang w:val="en-GB"/>
        </w:rPr>
        <w:t>other hand</w:t>
      </w:r>
      <w:r w:rsidRPr="00782BBB">
        <w:rPr>
          <w:sz w:val="24"/>
          <w:szCs w:val="24"/>
          <w:lang w:val="en-GB"/>
        </w:rPr>
        <w:t xml:space="preserve">, the concept of </w:t>
      </w:r>
      <w:r>
        <w:rPr>
          <w:sz w:val="24"/>
          <w:szCs w:val="24"/>
          <w:lang w:val="en-GB"/>
        </w:rPr>
        <w:t xml:space="preserve">an </w:t>
      </w:r>
      <w:r w:rsidRPr="00782BBB">
        <w:rPr>
          <w:sz w:val="24"/>
          <w:szCs w:val="24"/>
          <w:lang w:val="en-GB"/>
        </w:rPr>
        <w:t>“incidental</w:t>
      </w:r>
      <w:r>
        <w:rPr>
          <w:sz w:val="24"/>
          <w:szCs w:val="24"/>
          <w:lang w:val="en-GB"/>
        </w:rPr>
        <w:t>”</w:t>
      </w:r>
      <w:r w:rsidRPr="00782BBB">
        <w:rPr>
          <w:sz w:val="24"/>
          <w:szCs w:val="24"/>
          <w:lang w:val="en-GB"/>
        </w:rPr>
        <w:t xml:space="preserve"> copy seems to include acts that last longer than a transient copy but are a necessary </w:t>
      </w:r>
      <w:r>
        <w:rPr>
          <w:sz w:val="24"/>
          <w:szCs w:val="24"/>
          <w:lang w:val="en-GB"/>
        </w:rPr>
        <w:t xml:space="preserve">stage in </w:t>
      </w:r>
      <w:r w:rsidRPr="00782BBB">
        <w:rPr>
          <w:sz w:val="24"/>
          <w:szCs w:val="24"/>
          <w:lang w:val="en-GB"/>
        </w:rPr>
        <w:t xml:space="preserve">the main act of exploitation of the work, provided that the reproduction </w:t>
      </w:r>
      <w:r>
        <w:rPr>
          <w:sz w:val="24"/>
          <w:szCs w:val="24"/>
          <w:lang w:val="en-GB"/>
        </w:rPr>
        <w:t>is</w:t>
      </w:r>
      <w:r w:rsidRPr="00782BBB">
        <w:rPr>
          <w:sz w:val="24"/>
          <w:szCs w:val="24"/>
          <w:lang w:val="en-GB"/>
        </w:rPr>
        <w:t xml:space="preserve"> nevertheless temporary</w:t>
      </w:r>
      <w:r>
        <w:rPr>
          <w:sz w:val="24"/>
          <w:szCs w:val="24"/>
          <w:lang w:val="en-GB"/>
        </w:rPr>
        <w:t>.</w:t>
      </w:r>
      <w:r>
        <w:rPr>
          <w:rStyle w:val="Rimandonotaapidipagina"/>
          <w:sz w:val="24"/>
          <w:szCs w:val="24"/>
          <w:lang w:val="en-GB"/>
        </w:rPr>
        <w:footnoteReference w:id="31"/>
      </w:r>
      <w:r w:rsidRPr="00782BBB">
        <w:rPr>
          <w:sz w:val="24"/>
          <w:szCs w:val="24"/>
          <w:lang w:val="en-GB"/>
        </w:rPr>
        <w:t xml:space="preserve"> It is unlikely that a copy used to mine data </w:t>
      </w:r>
      <w:r>
        <w:rPr>
          <w:sz w:val="24"/>
          <w:szCs w:val="24"/>
          <w:lang w:val="en-GB"/>
        </w:rPr>
        <w:t xml:space="preserve">would be </w:t>
      </w:r>
      <w:r w:rsidRPr="00782BBB">
        <w:rPr>
          <w:sz w:val="24"/>
          <w:szCs w:val="24"/>
          <w:lang w:val="en-GB"/>
        </w:rPr>
        <w:t xml:space="preserve">transient: the material must be available for a certain period </w:t>
      </w:r>
      <w:r>
        <w:rPr>
          <w:sz w:val="24"/>
          <w:szCs w:val="24"/>
          <w:lang w:val="en-GB"/>
        </w:rPr>
        <w:t xml:space="preserve">of time </w:t>
      </w:r>
      <w:r w:rsidRPr="00782BBB">
        <w:rPr>
          <w:sz w:val="24"/>
          <w:szCs w:val="24"/>
          <w:lang w:val="en-GB"/>
        </w:rPr>
        <w:t>to be transformed, loaded and/or analysed</w:t>
      </w:r>
      <w:r>
        <w:rPr>
          <w:sz w:val="24"/>
          <w:szCs w:val="24"/>
          <w:lang w:val="en-GB"/>
        </w:rPr>
        <w:t>.</w:t>
      </w:r>
      <w:r>
        <w:rPr>
          <w:rStyle w:val="Rimandonotaapidipagina"/>
          <w:sz w:val="24"/>
          <w:szCs w:val="24"/>
          <w:lang w:val="en-GB"/>
        </w:rPr>
        <w:footnoteReference w:id="32"/>
      </w:r>
      <w:r w:rsidRPr="00782BBB">
        <w:rPr>
          <w:sz w:val="24"/>
          <w:szCs w:val="24"/>
          <w:lang w:val="en-GB"/>
        </w:rPr>
        <w:t xml:space="preserve"> Furthermore, human intervention to delete copies of works</w:t>
      </w:r>
      <w:r>
        <w:rPr>
          <w:sz w:val="24"/>
          <w:szCs w:val="24"/>
          <w:lang w:val="en-GB"/>
        </w:rPr>
        <w:t xml:space="preserve"> is usually required, </w:t>
      </w:r>
      <w:r w:rsidRPr="00782BBB">
        <w:rPr>
          <w:sz w:val="24"/>
          <w:szCs w:val="24"/>
          <w:lang w:val="en-GB"/>
        </w:rPr>
        <w:t>so the cancellation is not automatic</w:t>
      </w:r>
      <w:r>
        <w:rPr>
          <w:sz w:val="24"/>
          <w:szCs w:val="24"/>
          <w:lang w:val="en-GB"/>
        </w:rPr>
        <w:t xml:space="preserve">, </w:t>
      </w:r>
      <w:r w:rsidRPr="00782BBB">
        <w:rPr>
          <w:sz w:val="24"/>
          <w:szCs w:val="24"/>
          <w:lang w:val="en-GB"/>
        </w:rPr>
        <w:t xml:space="preserve">as </w:t>
      </w:r>
      <w:r>
        <w:rPr>
          <w:sz w:val="24"/>
          <w:szCs w:val="24"/>
          <w:lang w:val="en-GB"/>
        </w:rPr>
        <w:t>stipulated</w:t>
      </w:r>
      <w:r w:rsidRPr="00782BBB">
        <w:rPr>
          <w:sz w:val="24"/>
          <w:szCs w:val="24"/>
          <w:lang w:val="en-GB"/>
        </w:rPr>
        <w:t xml:space="preserve"> by the Court of Justice</w:t>
      </w:r>
      <w:r>
        <w:rPr>
          <w:sz w:val="24"/>
          <w:szCs w:val="24"/>
          <w:lang w:val="en-GB"/>
        </w:rPr>
        <w:t>.</w:t>
      </w:r>
      <w:r>
        <w:rPr>
          <w:rStyle w:val="Rimandonotaapidipagina"/>
          <w:sz w:val="24"/>
          <w:szCs w:val="24"/>
          <w:lang w:val="en-GB"/>
        </w:rPr>
        <w:footnoteReference w:id="33"/>
      </w:r>
      <w:r w:rsidRPr="00782BBB">
        <w:rPr>
          <w:sz w:val="24"/>
          <w:szCs w:val="24"/>
          <w:lang w:val="en-GB"/>
        </w:rPr>
        <w:t xml:space="preserve"> </w:t>
      </w:r>
    </w:p>
    <w:p w14:paraId="0A8803A6" w14:textId="77777777" w:rsidR="00651F9B" w:rsidRDefault="00651F9B" w:rsidP="00651F9B">
      <w:pPr>
        <w:ind w:firstLine="397"/>
        <w:jc w:val="both"/>
        <w:rPr>
          <w:sz w:val="24"/>
          <w:szCs w:val="24"/>
          <w:lang w:val="en-GB"/>
        </w:rPr>
      </w:pPr>
      <w:r>
        <w:rPr>
          <w:sz w:val="24"/>
          <w:szCs w:val="24"/>
          <w:lang w:val="en-GB"/>
        </w:rPr>
        <w:t>However, i</w:t>
      </w:r>
      <w:r w:rsidRPr="00782BBB">
        <w:rPr>
          <w:sz w:val="24"/>
          <w:szCs w:val="24"/>
          <w:lang w:val="en-GB"/>
        </w:rPr>
        <w:t xml:space="preserve">t is </w:t>
      </w:r>
      <w:r>
        <w:rPr>
          <w:sz w:val="24"/>
          <w:szCs w:val="24"/>
          <w:lang w:val="en-GB"/>
        </w:rPr>
        <w:t xml:space="preserve">possible </w:t>
      </w:r>
      <w:r w:rsidRPr="00782BBB">
        <w:rPr>
          <w:sz w:val="24"/>
          <w:szCs w:val="24"/>
          <w:lang w:val="en-GB"/>
        </w:rPr>
        <w:t xml:space="preserve">that </w:t>
      </w:r>
      <w:r>
        <w:rPr>
          <w:sz w:val="24"/>
          <w:szCs w:val="24"/>
          <w:lang w:val="en-GB"/>
        </w:rPr>
        <w:t>a</w:t>
      </w:r>
      <w:r w:rsidRPr="00782BBB">
        <w:rPr>
          <w:sz w:val="24"/>
          <w:szCs w:val="24"/>
          <w:lang w:val="en-GB"/>
        </w:rPr>
        <w:t xml:space="preserve"> temporary copy made during extraction</w:t>
      </w:r>
      <w:r>
        <w:rPr>
          <w:sz w:val="24"/>
          <w:szCs w:val="24"/>
          <w:lang w:val="en-GB"/>
        </w:rPr>
        <w:t xml:space="preserve"> could be considered incidental to the process, for example if it were made for </w:t>
      </w:r>
      <w:r w:rsidRPr="00782BBB">
        <w:rPr>
          <w:sz w:val="24"/>
          <w:szCs w:val="24"/>
          <w:lang w:val="en-GB"/>
        </w:rPr>
        <w:t xml:space="preserve">the </w:t>
      </w:r>
      <w:r>
        <w:rPr>
          <w:sz w:val="24"/>
          <w:szCs w:val="24"/>
          <w:lang w:val="en-GB"/>
        </w:rPr>
        <w:t xml:space="preserve">purpose of </w:t>
      </w:r>
      <w:r w:rsidRPr="00782BBB">
        <w:rPr>
          <w:sz w:val="24"/>
          <w:szCs w:val="24"/>
          <w:lang w:val="en-GB"/>
        </w:rPr>
        <w:t>analysis of the work</w:t>
      </w:r>
      <w:r>
        <w:rPr>
          <w:sz w:val="24"/>
          <w:szCs w:val="24"/>
          <w:lang w:val="en-GB"/>
        </w:rPr>
        <w:t>.</w:t>
      </w:r>
      <w:r>
        <w:rPr>
          <w:rStyle w:val="Rimandonotaapidipagina"/>
          <w:sz w:val="24"/>
          <w:szCs w:val="24"/>
          <w:lang w:val="en-GB"/>
        </w:rPr>
        <w:footnoteReference w:id="34"/>
      </w:r>
      <w:r>
        <w:rPr>
          <w:sz w:val="24"/>
          <w:szCs w:val="24"/>
          <w:lang w:val="en-GB"/>
        </w:rPr>
        <w:t xml:space="preserve"> It would depend a lot on the technology used, but in many cases the copies made would be permanent.</w:t>
      </w:r>
      <w:r>
        <w:rPr>
          <w:rStyle w:val="Rimandonotaapidipagina"/>
          <w:sz w:val="24"/>
          <w:szCs w:val="24"/>
          <w:lang w:val="en-GB"/>
        </w:rPr>
        <w:footnoteReference w:id="35"/>
      </w:r>
      <w:r>
        <w:rPr>
          <w:sz w:val="24"/>
          <w:szCs w:val="24"/>
          <w:lang w:val="en-GB"/>
        </w:rPr>
        <w:t xml:space="preserve"> It has been noted that, for </w:t>
      </w:r>
      <w:r w:rsidRPr="002371C3">
        <w:rPr>
          <w:sz w:val="24"/>
          <w:szCs w:val="24"/>
          <w:lang w:val="en-GB"/>
        </w:rPr>
        <w:t>high-quality</w:t>
      </w:r>
      <w:r>
        <w:rPr>
          <w:sz w:val="24"/>
          <w:szCs w:val="24"/>
          <w:lang w:val="en-GB"/>
        </w:rPr>
        <w:t xml:space="preserve"> </w:t>
      </w:r>
      <w:r w:rsidRPr="002371C3">
        <w:rPr>
          <w:sz w:val="24"/>
          <w:szCs w:val="24"/>
          <w:lang w:val="en-GB"/>
        </w:rPr>
        <w:t>data</w:t>
      </w:r>
      <w:r>
        <w:rPr>
          <w:sz w:val="24"/>
          <w:szCs w:val="24"/>
          <w:lang w:val="en-GB"/>
        </w:rPr>
        <w:t xml:space="preserve"> </w:t>
      </w:r>
      <w:r w:rsidRPr="002371C3">
        <w:rPr>
          <w:sz w:val="24"/>
          <w:szCs w:val="24"/>
          <w:lang w:val="en-GB"/>
        </w:rPr>
        <w:t>analyses,</w:t>
      </w:r>
      <w:r>
        <w:rPr>
          <w:sz w:val="24"/>
          <w:szCs w:val="24"/>
          <w:lang w:val="en-GB"/>
        </w:rPr>
        <w:t xml:space="preserve"> as in the case of training an AI </w:t>
      </w:r>
      <w:r>
        <w:rPr>
          <w:sz w:val="24"/>
          <w:szCs w:val="24"/>
          <w:lang w:val="en-GB"/>
        </w:rPr>
        <w:lastRenderedPageBreak/>
        <w:t xml:space="preserve">system, </w:t>
      </w:r>
      <w:r w:rsidRPr="002371C3">
        <w:rPr>
          <w:sz w:val="24"/>
          <w:szCs w:val="24"/>
          <w:lang w:val="en-GB"/>
        </w:rPr>
        <w:t>temporary</w:t>
      </w:r>
      <w:r>
        <w:rPr>
          <w:sz w:val="24"/>
          <w:szCs w:val="24"/>
          <w:lang w:val="en-GB"/>
        </w:rPr>
        <w:t xml:space="preserve"> </w:t>
      </w:r>
      <w:r w:rsidRPr="002371C3">
        <w:rPr>
          <w:sz w:val="24"/>
          <w:szCs w:val="24"/>
          <w:lang w:val="en-GB"/>
        </w:rPr>
        <w:t>reproductions</w:t>
      </w:r>
      <w:r>
        <w:rPr>
          <w:sz w:val="24"/>
          <w:szCs w:val="24"/>
          <w:lang w:val="en-GB"/>
        </w:rPr>
        <w:t xml:space="preserve"> </w:t>
      </w:r>
      <w:r w:rsidRPr="002371C3">
        <w:rPr>
          <w:sz w:val="24"/>
          <w:szCs w:val="24"/>
          <w:lang w:val="en-GB"/>
        </w:rPr>
        <w:t>are</w:t>
      </w:r>
      <w:r>
        <w:rPr>
          <w:sz w:val="24"/>
          <w:szCs w:val="24"/>
          <w:lang w:val="en-GB"/>
        </w:rPr>
        <w:t xml:space="preserve"> </w:t>
      </w:r>
      <w:r w:rsidRPr="002371C3">
        <w:rPr>
          <w:sz w:val="24"/>
          <w:szCs w:val="24"/>
          <w:lang w:val="en-GB"/>
        </w:rPr>
        <w:t>usually</w:t>
      </w:r>
      <w:r>
        <w:rPr>
          <w:sz w:val="24"/>
          <w:szCs w:val="24"/>
          <w:lang w:val="en-GB"/>
        </w:rPr>
        <w:t xml:space="preserve"> </w:t>
      </w:r>
      <w:r w:rsidRPr="002371C3">
        <w:rPr>
          <w:sz w:val="24"/>
          <w:szCs w:val="24"/>
          <w:lang w:val="en-GB"/>
        </w:rPr>
        <w:t>not</w:t>
      </w:r>
      <w:r>
        <w:rPr>
          <w:sz w:val="24"/>
          <w:szCs w:val="24"/>
          <w:lang w:val="en-GB"/>
        </w:rPr>
        <w:t xml:space="preserve"> </w:t>
      </w:r>
      <w:r w:rsidRPr="002371C3">
        <w:rPr>
          <w:sz w:val="24"/>
          <w:szCs w:val="24"/>
          <w:lang w:val="en-GB"/>
        </w:rPr>
        <w:t xml:space="preserve">sufficient. In most </w:t>
      </w:r>
      <w:r>
        <w:rPr>
          <w:sz w:val="24"/>
          <w:szCs w:val="24"/>
          <w:lang w:val="en-GB"/>
        </w:rPr>
        <w:t>situations</w:t>
      </w:r>
      <w:r w:rsidRPr="002371C3">
        <w:rPr>
          <w:sz w:val="24"/>
          <w:szCs w:val="24"/>
          <w:lang w:val="en-GB"/>
        </w:rPr>
        <w:t xml:space="preserve">, the data </w:t>
      </w:r>
      <w:r>
        <w:rPr>
          <w:sz w:val="24"/>
          <w:szCs w:val="24"/>
          <w:lang w:val="en-GB"/>
        </w:rPr>
        <w:t>set</w:t>
      </w:r>
      <w:r w:rsidRPr="002371C3">
        <w:rPr>
          <w:sz w:val="24"/>
          <w:szCs w:val="24"/>
          <w:lang w:val="en-GB"/>
        </w:rPr>
        <w:t xml:space="preserve"> needs to be normali</w:t>
      </w:r>
      <w:r>
        <w:rPr>
          <w:sz w:val="24"/>
          <w:szCs w:val="24"/>
          <w:lang w:val="en-GB"/>
        </w:rPr>
        <w:t>z</w:t>
      </w:r>
      <w:r w:rsidRPr="002371C3">
        <w:rPr>
          <w:sz w:val="24"/>
          <w:szCs w:val="24"/>
          <w:lang w:val="en-GB"/>
        </w:rPr>
        <w:t xml:space="preserve">ed, </w:t>
      </w:r>
      <w:proofErr w:type="gramStart"/>
      <w:r w:rsidRPr="002371C3">
        <w:rPr>
          <w:sz w:val="24"/>
          <w:szCs w:val="24"/>
          <w:lang w:val="en-GB"/>
        </w:rPr>
        <w:t>annotated</w:t>
      </w:r>
      <w:proofErr w:type="gramEnd"/>
      <w:r w:rsidRPr="002371C3">
        <w:rPr>
          <w:sz w:val="24"/>
          <w:szCs w:val="24"/>
          <w:lang w:val="en-GB"/>
        </w:rPr>
        <w:t xml:space="preserve"> or</w:t>
      </w:r>
      <w:r>
        <w:rPr>
          <w:sz w:val="24"/>
          <w:szCs w:val="24"/>
          <w:lang w:val="en-GB"/>
        </w:rPr>
        <w:t xml:space="preserve"> </w:t>
      </w:r>
      <w:r w:rsidRPr="002371C3">
        <w:rPr>
          <w:sz w:val="24"/>
          <w:szCs w:val="24"/>
          <w:lang w:val="en-GB"/>
        </w:rPr>
        <w:t>altered</w:t>
      </w:r>
      <w:r>
        <w:rPr>
          <w:sz w:val="24"/>
          <w:szCs w:val="24"/>
          <w:lang w:val="en-GB"/>
        </w:rPr>
        <w:t xml:space="preserve">. </w:t>
      </w:r>
      <w:proofErr w:type="gramStart"/>
      <w:r w:rsidRPr="002371C3">
        <w:rPr>
          <w:sz w:val="24"/>
          <w:szCs w:val="24"/>
          <w:lang w:val="en-GB"/>
        </w:rPr>
        <w:t xml:space="preserve">All </w:t>
      </w:r>
      <w:r>
        <w:rPr>
          <w:sz w:val="24"/>
          <w:szCs w:val="24"/>
          <w:lang w:val="en-GB"/>
        </w:rPr>
        <w:t>of</w:t>
      </w:r>
      <w:proofErr w:type="gramEnd"/>
      <w:r>
        <w:rPr>
          <w:sz w:val="24"/>
          <w:szCs w:val="24"/>
          <w:lang w:val="en-GB"/>
        </w:rPr>
        <w:t xml:space="preserve"> </w:t>
      </w:r>
      <w:r w:rsidRPr="002371C3">
        <w:rPr>
          <w:sz w:val="24"/>
          <w:szCs w:val="24"/>
          <w:lang w:val="en-GB"/>
        </w:rPr>
        <w:t>th</w:t>
      </w:r>
      <w:r>
        <w:rPr>
          <w:sz w:val="24"/>
          <w:szCs w:val="24"/>
          <w:lang w:val="en-GB"/>
        </w:rPr>
        <w:t>e</w:t>
      </w:r>
      <w:r w:rsidRPr="002371C3">
        <w:rPr>
          <w:sz w:val="24"/>
          <w:szCs w:val="24"/>
          <w:lang w:val="en-GB"/>
        </w:rPr>
        <w:t>se</w:t>
      </w:r>
      <w:r>
        <w:rPr>
          <w:sz w:val="24"/>
          <w:szCs w:val="24"/>
          <w:lang w:val="en-GB"/>
        </w:rPr>
        <w:t xml:space="preserve"> </w:t>
      </w:r>
      <w:r w:rsidRPr="002371C3">
        <w:rPr>
          <w:sz w:val="24"/>
          <w:szCs w:val="24"/>
          <w:lang w:val="en-GB"/>
        </w:rPr>
        <w:t xml:space="preserve">preparatory works usually depend on longer storage periods than </w:t>
      </w:r>
      <w:r>
        <w:rPr>
          <w:sz w:val="24"/>
          <w:szCs w:val="24"/>
          <w:lang w:val="en-GB"/>
        </w:rPr>
        <w:t xml:space="preserve">the </w:t>
      </w:r>
      <w:proofErr w:type="spellStart"/>
      <w:r>
        <w:rPr>
          <w:sz w:val="24"/>
          <w:szCs w:val="24"/>
          <w:lang w:val="en-GB"/>
        </w:rPr>
        <w:t>Infosoc</w:t>
      </w:r>
      <w:proofErr w:type="spellEnd"/>
      <w:r>
        <w:rPr>
          <w:sz w:val="24"/>
          <w:szCs w:val="24"/>
          <w:lang w:val="en-GB"/>
        </w:rPr>
        <w:t xml:space="preserve"> Directive </w:t>
      </w:r>
      <w:r w:rsidRPr="002371C3">
        <w:rPr>
          <w:sz w:val="24"/>
          <w:szCs w:val="24"/>
          <w:lang w:val="en-GB"/>
        </w:rPr>
        <w:t>permits</w:t>
      </w:r>
      <w:r>
        <w:rPr>
          <w:sz w:val="24"/>
          <w:szCs w:val="24"/>
          <w:lang w:val="en-GB"/>
        </w:rPr>
        <w:t>.</w:t>
      </w:r>
      <w:r>
        <w:rPr>
          <w:rStyle w:val="Rimandonotaapidipagina"/>
          <w:sz w:val="24"/>
          <w:szCs w:val="24"/>
          <w:lang w:val="en-GB"/>
        </w:rPr>
        <w:footnoteReference w:id="36"/>
      </w:r>
      <w:r>
        <w:rPr>
          <w:sz w:val="24"/>
          <w:szCs w:val="24"/>
          <w:lang w:val="en-GB"/>
        </w:rPr>
        <w:t xml:space="preserve"> It is also possible that the materials would need</w:t>
      </w:r>
      <w:r w:rsidRPr="009F6B58">
        <w:rPr>
          <w:sz w:val="24"/>
          <w:szCs w:val="24"/>
          <w:lang w:val="en-GB"/>
        </w:rPr>
        <w:t xml:space="preserve"> to </w:t>
      </w:r>
      <w:r>
        <w:rPr>
          <w:sz w:val="24"/>
          <w:szCs w:val="24"/>
          <w:lang w:val="en-GB"/>
        </w:rPr>
        <w:t xml:space="preserve">be </w:t>
      </w:r>
      <w:r w:rsidRPr="009F6B58">
        <w:rPr>
          <w:sz w:val="24"/>
          <w:szCs w:val="24"/>
          <w:lang w:val="en-GB"/>
        </w:rPr>
        <w:t>retain</w:t>
      </w:r>
      <w:r>
        <w:rPr>
          <w:sz w:val="24"/>
          <w:szCs w:val="24"/>
          <w:lang w:val="en-GB"/>
        </w:rPr>
        <w:t xml:space="preserve">ed </w:t>
      </w:r>
      <w:r w:rsidRPr="009F6B58">
        <w:rPr>
          <w:sz w:val="24"/>
          <w:szCs w:val="24"/>
          <w:lang w:val="en-GB"/>
        </w:rPr>
        <w:t xml:space="preserve">for </w:t>
      </w:r>
      <w:r>
        <w:rPr>
          <w:sz w:val="24"/>
          <w:szCs w:val="24"/>
          <w:lang w:val="en-GB"/>
        </w:rPr>
        <w:t xml:space="preserve">such </w:t>
      </w:r>
      <w:r w:rsidRPr="009F6B58">
        <w:rPr>
          <w:sz w:val="24"/>
          <w:szCs w:val="24"/>
          <w:lang w:val="en-GB"/>
        </w:rPr>
        <w:t xml:space="preserve">uses </w:t>
      </w:r>
      <w:r>
        <w:rPr>
          <w:sz w:val="24"/>
          <w:szCs w:val="24"/>
          <w:lang w:val="en-GB"/>
        </w:rPr>
        <w:t>as</w:t>
      </w:r>
      <w:r w:rsidRPr="009F6B58">
        <w:rPr>
          <w:sz w:val="24"/>
          <w:szCs w:val="24"/>
          <w:lang w:val="en-GB"/>
        </w:rPr>
        <w:t xml:space="preserve"> verification, aggregation with other data sets and further analysis</w:t>
      </w:r>
      <w:r>
        <w:rPr>
          <w:sz w:val="24"/>
          <w:szCs w:val="24"/>
          <w:lang w:val="en-GB"/>
        </w:rPr>
        <w:t>.</w:t>
      </w:r>
    </w:p>
    <w:p w14:paraId="1F00A4B7" w14:textId="6B512997" w:rsidR="00651F9B" w:rsidRPr="00AE695F" w:rsidRDefault="00651F9B" w:rsidP="00651F9B">
      <w:pPr>
        <w:ind w:firstLine="397"/>
        <w:jc w:val="both"/>
        <w:rPr>
          <w:sz w:val="24"/>
          <w:szCs w:val="24"/>
          <w:lang w:val="en-GB"/>
        </w:rPr>
      </w:pPr>
      <w:r>
        <w:rPr>
          <w:sz w:val="24"/>
          <w:szCs w:val="24"/>
          <w:lang w:val="en-GB"/>
        </w:rPr>
        <w:t xml:space="preserve"> Another requirement is </w:t>
      </w:r>
      <w:r w:rsidRPr="00F273C6">
        <w:rPr>
          <w:sz w:val="24"/>
          <w:szCs w:val="24"/>
          <w:lang w:val="en-GB"/>
        </w:rPr>
        <w:t xml:space="preserve">the absence of independent economic advantage. The copy must not </w:t>
      </w:r>
      <w:r>
        <w:rPr>
          <w:sz w:val="24"/>
          <w:szCs w:val="24"/>
          <w:lang w:val="en-GB"/>
        </w:rPr>
        <w:t xml:space="preserve">have any value </w:t>
      </w:r>
      <w:r w:rsidRPr="00F273C6">
        <w:rPr>
          <w:sz w:val="24"/>
          <w:szCs w:val="24"/>
          <w:lang w:val="en-GB"/>
        </w:rPr>
        <w:t xml:space="preserve">distinct or separable from the economic </w:t>
      </w:r>
      <w:r w:rsidR="00A14CC6">
        <w:rPr>
          <w:sz w:val="24"/>
          <w:szCs w:val="24"/>
          <w:lang w:val="en-GB"/>
        </w:rPr>
        <w:t>benefit</w:t>
      </w:r>
      <w:r w:rsidRPr="00F273C6">
        <w:rPr>
          <w:sz w:val="24"/>
          <w:szCs w:val="24"/>
          <w:lang w:val="en-GB"/>
        </w:rPr>
        <w:t xml:space="preserve"> derived from the lawful use of the work concerned</w:t>
      </w:r>
      <w:r>
        <w:rPr>
          <w:sz w:val="24"/>
          <w:szCs w:val="24"/>
          <w:lang w:val="en-GB"/>
        </w:rPr>
        <w:t xml:space="preserve">, nor may it </w:t>
      </w:r>
      <w:r w:rsidRPr="00F273C6">
        <w:rPr>
          <w:sz w:val="24"/>
          <w:szCs w:val="24"/>
          <w:lang w:val="en-GB"/>
        </w:rPr>
        <w:t>generate an additional economic advantage going beyond that derived from that use of the protected work</w:t>
      </w:r>
      <w:r>
        <w:rPr>
          <w:sz w:val="24"/>
          <w:szCs w:val="24"/>
          <w:lang w:val="en-GB"/>
        </w:rPr>
        <w:t>.</w:t>
      </w:r>
      <w:r>
        <w:rPr>
          <w:rStyle w:val="Rimandonotaapidipagina"/>
          <w:sz w:val="24"/>
          <w:szCs w:val="24"/>
          <w:lang w:val="en-GB"/>
        </w:rPr>
        <w:footnoteReference w:id="37"/>
      </w:r>
      <w:r w:rsidRPr="00F273C6">
        <w:rPr>
          <w:sz w:val="24"/>
          <w:szCs w:val="24"/>
          <w:lang w:val="en-GB"/>
        </w:rPr>
        <w:t xml:space="preserve"> </w:t>
      </w:r>
      <w:r>
        <w:rPr>
          <w:sz w:val="24"/>
          <w:szCs w:val="24"/>
          <w:lang w:val="en-GB"/>
        </w:rPr>
        <w:t>A</w:t>
      </w:r>
      <w:r w:rsidRPr="00F273C6">
        <w:rPr>
          <w:sz w:val="24"/>
          <w:szCs w:val="24"/>
          <w:lang w:val="en-GB"/>
        </w:rPr>
        <w:t xml:space="preserve"> single act of reproduction may not be of significant economic value, which</w:t>
      </w:r>
      <w:r>
        <w:rPr>
          <w:sz w:val="24"/>
          <w:szCs w:val="24"/>
          <w:lang w:val="en-GB"/>
        </w:rPr>
        <w:t>,</w:t>
      </w:r>
      <w:r w:rsidRPr="00F273C6">
        <w:rPr>
          <w:sz w:val="24"/>
          <w:szCs w:val="24"/>
          <w:lang w:val="en-GB"/>
        </w:rPr>
        <w:t xml:space="preserve"> however</w:t>
      </w:r>
      <w:r>
        <w:rPr>
          <w:sz w:val="24"/>
          <w:szCs w:val="24"/>
          <w:lang w:val="en-GB"/>
        </w:rPr>
        <w:t>,</w:t>
      </w:r>
      <w:r w:rsidRPr="00F273C6">
        <w:rPr>
          <w:sz w:val="24"/>
          <w:szCs w:val="24"/>
          <w:lang w:val="en-GB"/>
        </w:rPr>
        <w:t xml:space="preserve"> is not the same </w:t>
      </w:r>
      <w:r>
        <w:rPr>
          <w:sz w:val="24"/>
          <w:szCs w:val="24"/>
          <w:lang w:val="en-GB"/>
        </w:rPr>
        <w:t>as</w:t>
      </w:r>
      <w:r w:rsidRPr="00F273C6">
        <w:rPr>
          <w:sz w:val="24"/>
          <w:szCs w:val="24"/>
          <w:lang w:val="en-GB"/>
        </w:rPr>
        <w:t xml:space="preserve"> </w:t>
      </w:r>
      <w:r>
        <w:rPr>
          <w:sz w:val="24"/>
          <w:szCs w:val="24"/>
          <w:lang w:val="en-GB"/>
        </w:rPr>
        <w:t xml:space="preserve">it not having </w:t>
      </w:r>
      <w:r w:rsidRPr="00F273C6">
        <w:rPr>
          <w:sz w:val="24"/>
          <w:szCs w:val="24"/>
          <w:lang w:val="en-GB"/>
        </w:rPr>
        <w:t>an</w:t>
      </w:r>
      <w:r>
        <w:rPr>
          <w:sz w:val="24"/>
          <w:szCs w:val="24"/>
          <w:lang w:val="en-GB"/>
        </w:rPr>
        <w:t>y</w:t>
      </w:r>
      <w:r w:rsidRPr="00F273C6">
        <w:rPr>
          <w:sz w:val="24"/>
          <w:szCs w:val="24"/>
          <w:lang w:val="en-GB"/>
        </w:rPr>
        <w:t xml:space="preserve"> independen</w:t>
      </w:r>
      <w:r>
        <w:rPr>
          <w:sz w:val="24"/>
          <w:szCs w:val="24"/>
          <w:lang w:val="en-GB"/>
        </w:rPr>
        <w:t>t</w:t>
      </w:r>
      <w:r w:rsidRPr="00F273C6">
        <w:rPr>
          <w:sz w:val="24"/>
          <w:szCs w:val="24"/>
          <w:lang w:val="en-GB"/>
        </w:rPr>
        <w:t xml:space="preserve"> economic value. </w:t>
      </w:r>
      <w:r>
        <w:rPr>
          <w:sz w:val="24"/>
          <w:szCs w:val="24"/>
          <w:lang w:val="en-GB"/>
        </w:rPr>
        <w:t xml:space="preserve">TDM </w:t>
      </w:r>
      <w:r w:rsidRPr="00F273C6">
        <w:rPr>
          <w:sz w:val="24"/>
          <w:szCs w:val="24"/>
          <w:lang w:val="en-GB"/>
        </w:rPr>
        <w:t xml:space="preserve">activity seems to determine an additional economic </w:t>
      </w:r>
      <w:r w:rsidR="00A14CC6">
        <w:rPr>
          <w:sz w:val="24"/>
          <w:szCs w:val="24"/>
          <w:lang w:val="en-GB"/>
        </w:rPr>
        <w:t>benefit</w:t>
      </w:r>
      <w:r w:rsidRPr="00F273C6">
        <w:rPr>
          <w:sz w:val="24"/>
          <w:szCs w:val="24"/>
          <w:lang w:val="en-GB"/>
        </w:rPr>
        <w:t xml:space="preserve"> </w:t>
      </w:r>
      <w:r w:rsidR="00A14CC6">
        <w:rPr>
          <w:sz w:val="24"/>
          <w:szCs w:val="24"/>
          <w:lang w:val="en-GB"/>
        </w:rPr>
        <w:t>that</w:t>
      </w:r>
      <w:r w:rsidRPr="00F273C6">
        <w:rPr>
          <w:sz w:val="24"/>
          <w:szCs w:val="24"/>
          <w:lang w:val="en-GB"/>
        </w:rPr>
        <w:t xml:space="preserve"> can </w:t>
      </w:r>
      <w:r w:rsidR="00A14CC6">
        <w:rPr>
          <w:sz w:val="24"/>
          <w:szCs w:val="24"/>
          <w:lang w:val="en-GB"/>
        </w:rPr>
        <w:t xml:space="preserve">be </w:t>
      </w:r>
      <w:r w:rsidRPr="00F273C6">
        <w:rPr>
          <w:sz w:val="24"/>
          <w:szCs w:val="24"/>
          <w:lang w:val="en-GB"/>
        </w:rPr>
        <w:t xml:space="preserve">potentially </w:t>
      </w:r>
      <w:proofErr w:type="gramStart"/>
      <w:r w:rsidR="00A14CC6">
        <w:rPr>
          <w:sz w:val="24"/>
          <w:szCs w:val="24"/>
          <w:lang w:val="en-GB"/>
        </w:rPr>
        <w:t>very huge</w:t>
      </w:r>
      <w:proofErr w:type="gramEnd"/>
      <w:r>
        <w:rPr>
          <w:sz w:val="24"/>
          <w:szCs w:val="24"/>
          <w:lang w:val="en-GB"/>
        </w:rPr>
        <w:t>.</w:t>
      </w:r>
      <w:r>
        <w:rPr>
          <w:rStyle w:val="Rimandonotaapidipagina"/>
          <w:sz w:val="24"/>
          <w:szCs w:val="24"/>
          <w:lang w:val="en-GB"/>
        </w:rPr>
        <w:footnoteReference w:id="38"/>
      </w:r>
      <w:r w:rsidRPr="00F273C6">
        <w:rPr>
          <w:sz w:val="24"/>
          <w:szCs w:val="24"/>
          <w:lang w:val="en-GB"/>
        </w:rPr>
        <w:t xml:space="preserve"> This may be one of the most challenging requirements</w:t>
      </w:r>
      <w:r>
        <w:rPr>
          <w:sz w:val="24"/>
          <w:szCs w:val="24"/>
          <w:lang w:val="en-GB"/>
        </w:rPr>
        <w:t>,</w:t>
      </w:r>
      <w:r w:rsidRPr="00F273C6">
        <w:rPr>
          <w:sz w:val="24"/>
          <w:szCs w:val="24"/>
          <w:lang w:val="en-GB"/>
        </w:rPr>
        <w:t xml:space="preserve"> as it does not depend on the specific technique used or the technological development.</w:t>
      </w:r>
      <w:r>
        <w:rPr>
          <w:sz w:val="24"/>
          <w:szCs w:val="24"/>
          <w:lang w:val="en-GB"/>
        </w:rPr>
        <w:t xml:space="preserve"> In conclusion, t</w:t>
      </w:r>
      <w:r w:rsidRPr="007A3277">
        <w:rPr>
          <w:sz w:val="24"/>
          <w:szCs w:val="24"/>
          <w:lang w:val="en-GB"/>
        </w:rPr>
        <w:t>he temporary reproduction exception m</w:t>
      </w:r>
      <w:r>
        <w:rPr>
          <w:sz w:val="24"/>
          <w:szCs w:val="24"/>
          <w:lang w:val="en-GB"/>
        </w:rPr>
        <w:t>ay</w:t>
      </w:r>
      <w:r w:rsidRPr="007A3277">
        <w:rPr>
          <w:sz w:val="24"/>
          <w:szCs w:val="24"/>
          <w:lang w:val="en-GB"/>
        </w:rPr>
        <w:t xml:space="preserve"> not apply to TDM activities and</w:t>
      </w:r>
      <w:r>
        <w:rPr>
          <w:sz w:val="24"/>
          <w:szCs w:val="24"/>
          <w:lang w:val="en-GB"/>
        </w:rPr>
        <w:t xml:space="preserve">, even in cases where it may, </w:t>
      </w:r>
      <w:r w:rsidRPr="007A3277">
        <w:rPr>
          <w:sz w:val="24"/>
          <w:szCs w:val="24"/>
          <w:lang w:val="en-GB"/>
        </w:rPr>
        <w:t>there is still not enough legal certainty</w:t>
      </w:r>
      <w:r>
        <w:rPr>
          <w:sz w:val="24"/>
          <w:szCs w:val="24"/>
          <w:lang w:val="en-GB"/>
        </w:rPr>
        <w:t xml:space="preserve">, partly due to technical uncertainties, </w:t>
      </w:r>
      <w:r w:rsidRPr="007A3277">
        <w:rPr>
          <w:sz w:val="24"/>
          <w:szCs w:val="24"/>
          <w:lang w:val="en-GB"/>
        </w:rPr>
        <w:t>to ensure that users of AI will be sufficiently insulated from liability.</w:t>
      </w:r>
    </w:p>
    <w:p w14:paraId="76BBB6CD" w14:textId="015697B1" w:rsidR="00651F9B" w:rsidRPr="007A4951" w:rsidRDefault="00651F9B" w:rsidP="00651F9B">
      <w:pPr>
        <w:ind w:firstLine="397"/>
        <w:jc w:val="both"/>
        <w:rPr>
          <w:sz w:val="24"/>
          <w:szCs w:val="24"/>
          <w:lang w:val="en-GB"/>
        </w:rPr>
      </w:pPr>
      <w:r w:rsidRPr="006F53AB">
        <w:rPr>
          <w:sz w:val="24"/>
          <w:szCs w:val="24"/>
          <w:lang w:val="en-GB"/>
        </w:rPr>
        <w:t xml:space="preserve">In the context of copyright, the private use exception provided by </w:t>
      </w:r>
      <w:r>
        <w:rPr>
          <w:sz w:val="24"/>
          <w:szCs w:val="24"/>
          <w:lang w:val="en-GB"/>
        </w:rPr>
        <w:t>A</w:t>
      </w:r>
      <w:r w:rsidRPr="006F53AB">
        <w:rPr>
          <w:sz w:val="24"/>
          <w:szCs w:val="24"/>
          <w:lang w:val="en-GB"/>
        </w:rPr>
        <w:t>rt. 5</w:t>
      </w:r>
      <w:r>
        <w:rPr>
          <w:sz w:val="24"/>
          <w:szCs w:val="24"/>
          <w:lang w:val="en-GB"/>
        </w:rPr>
        <w:t>.3</w:t>
      </w:r>
      <w:r w:rsidR="00471A27">
        <w:rPr>
          <w:sz w:val="24"/>
          <w:szCs w:val="24"/>
          <w:lang w:val="en-GB"/>
        </w:rPr>
        <w:t xml:space="preserve"> </w:t>
      </w:r>
      <w:r w:rsidRPr="006F53AB">
        <w:rPr>
          <w:sz w:val="24"/>
          <w:szCs w:val="24"/>
          <w:lang w:val="en-GB"/>
        </w:rPr>
        <w:t xml:space="preserve">b) of the </w:t>
      </w:r>
      <w:proofErr w:type="spellStart"/>
      <w:r w:rsidRPr="006F53AB">
        <w:rPr>
          <w:sz w:val="24"/>
          <w:szCs w:val="24"/>
          <w:lang w:val="en-GB"/>
        </w:rPr>
        <w:t>Infosoc</w:t>
      </w:r>
      <w:proofErr w:type="spellEnd"/>
      <w:r w:rsidRPr="006F53AB">
        <w:rPr>
          <w:sz w:val="24"/>
          <w:szCs w:val="24"/>
          <w:lang w:val="en-GB"/>
        </w:rPr>
        <w:t xml:space="preserve"> Directive is </w:t>
      </w:r>
      <w:r>
        <w:rPr>
          <w:sz w:val="24"/>
          <w:szCs w:val="24"/>
          <w:lang w:val="en-GB"/>
        </w:rPr>
        <w:t xml:space="preserve">also </w:t>
      </w:r>
      <w:r w:rsidRPr="006F53AB">
        <w:rPr>
          <w:sz w:val="24"/>
          <w:szCs w:val="24"/>
          <w:lang w:val="en-GB"/>
        </w:rPr>
        <w:t xml:space="preserve">relevant as it involves “reproductions on any medium made by a natural person for private use and for ends that are neither directly nor indirectly commercial, on condition that the </w:t>
      </w:r>
      <w:proofErr w:type="spellStart"/>
      <w:r w:rsidRPr="006F53AB">
        <w:rPr>
          <w:sz w:val="24"/>
          <w:szCs w:val="24"/>
          <w:lang w:val="en-GB"/>
        </w:rPr>
        <w:t>rightholders</w:t>
      </w:r>
      <w:proofErr w:type="spellEnd"/>
      <w:r w:rsidRPr="006F53AB">
        <w:rPr>
          <w:sz w:val="24"/>
          <w:szCs w:val="24"/>
          <w:lang w:val="en-GB"/>
        </w:rPr>
        <w:t xml:space="preserve"> receive fair compensation …”. The application is restricted to natural persons</w:t>
      </w:r>
      <w:r>
        <w:rPr>
          <w:sz w:val="24"/>
          <w:szCs w:val="24"/>
          <w:lang w:val="en-GB"/>
        </w:rPr>
        <w:t>,</w:t>
      </w:r>
      <w:r w:rsidRPr="006F53AB">
        <w:rPr>
          <w:sz w:val="24"/>
          <w:szCs w:val="24"/>
          <w:lang w:val="en-GB"/>
        </w:rPr>
        <w:t xml:space="preserve"> but there are some categories that m</w:t>
      </w:r>
      <w:r>
        <w:rPr>
          <w:sz w:val="24"/>
          <w:szCs w:val="24"/>
          <w:lang w:val="en-GB"/>
        </w:rPr>
        <w:t>ight</w:t>
      </w:r>
      <w:r w:rsidRPr="006F53AB">
        <w:rPr>
          <w:sz w:val="24"/>
          <w:szCs w:val="24"/>
          <w:lang w:val="en-GB"/>
        </w:rPr>
        <w:t xml:space="preserve"> benefit from this limitation</w:t>
      </w:r>
      <w:r>
        <w:rPr>
          <w:sz w:val="24"/>
          <w:szCs w:val="24"/>
          <w:lang w:val="en-GB"/>
        </w:rPr>
        <w:t>,</w:t>
      </w:r>
      <w:r w:rsidRPr="006F53AB">
        <w:rPr>
          <w:sz w:val="24"/>
          <w:szCs w:val="24"/>
          <w:lang w:val="en-GB"/>
        </w:rPr>
        <w:t xml:space="preserve"> such as individual researchers</w:t>
      </w:r>
      <w:r w:rsidRPr="006F53AB">
        <w:rPr>
          <w:rStyle w:val="Rimandonotaapidipagina"/>
          <w:sz w:val="24"/>
          <w:szCs w:val="24"/>
          <w:lang w:val="en-GB"/>
        </w:rPr>
        <w:footnoteReference w:id="39"/>
      </w:r>
      <w:r w:rsidRPr="006F53AB">
        <w:rPr>
          <w:sz w:val="24"/>
          <w:szCs w:val="24"/>
          <w:lang w:val="en-GB"/>
        </w:rPr>
        <w:t xml:space="preserve"> or </w:t>
      </w:r>
      <w:r>
        <w:rPr>
          <w:sz w:val="24"/>
          <w:szCs w:val="24"/>
          <w:lang w:val="en-GB"/>
        </w:rPr>
        <w:t>users of</w:t>
      </w:r>
      <w:r w:rsidRPr="006F53AB">
        <w:rPr>
          <w:sz w:val="24"/>
          <w:szCs w:val="24"/>
          <w:lang w:val="en-GB"/>
        </w:rPr>
        <w:t xml:space="preserve"> AI tools</w:t>
      </w:r>
      <w:r>
        <w:rPr>
          <w:sz w:val="24"/>
          <w:szCs w:val="24"/>
          <w:lang w:val="en-GB"/>
        </w:rPr>
        <w:t>.</w:t>
      </w:r>
      <w:r w:rsidRPr="006F53AB">
        <w:rPr>
          <w:rStyle w:val="Rimandonotaapidipagina"/>
          <w:sz w:val="24"/>
          <w:szCs w:val="24"/>
          <w:lang w:val="en-GB"/>
        </w:rPr>
        <w:footnoteReference w:id="40"/>
      </w:r>
      <w:r w:rsidRPr="006F53AB">
        <w:rPr>
          <w:sz w:val="24"/>
          <w:szCs w:val="24"/>
          <w:lang w:val="en-GB"/>
        </w:rPr>
        <w:t xml:space="preserve"> </w:t>
      </w:r>
      <w:r>
        <w:rPr>
          <w:sz w:val="24"/>
          <w:szCs w:val="24"/>
          <w:lang w:val="en-GB"/>
        </w:rPr>
        <w:t>However, t</w:t>
      </w:r>
      <w:r w:rsidRPr="006F53AB">
        <w:rPr>
          <w:sz w:val="24"/>
          <w:szCs w:val="24"/>
          <w:lang w:val="en-GB"/>
        </w:rPr>
        <w:t xml:space="preserve">he exception is narrowed down </w:t>
      </w:r>
      <w:r>
        <w:rPr>
          <w:sz w:val="24"/>
          <w:szCs w:val="24"/>
          <w:lang w:val="en-GB"/>
        </w:rPr>
        <w:t xml:space="preserve">even further </w:t>
      </w:r>
      <w:r w:rsidRPr="006F53AB">
        <w:rPr>
          <w:sz w:val="24"/>
          <w:szCs w:val="24"/>
          <w:lang w:val="en-GB"/>
        </w:rPr>
        <w:t xml:space="preserve">by limitation </w:t>
      </w:r>
      <w:r>
        <w:rPr>
          <w:sz w:val="24"/>
          <w:szCs w:val="24"/>
          <w:lang w:val="en-GB"/>
        </w:rPr>
        <w:t>of</w:t>
      </w:r>
      <w:r w:rsidRPr="006F53AB">
        <w:rPr>
          <w:sz w:val="24"/>
          <w:szCs w:val="24"/>
          <w:lang w:val="en-GB"/>
        </w:rPr>
        <w:t xml:space="preserve"> the purpose</w:t>
      </w:r>
      <w:r>
        <w:rPr>
          <w:sz w:val="24"/>
          <w:szCs w:val="24"/>
          <w:lang w:val="en-GB"/>
        </w:rPr>
        <w:t xml:space="preserve">: making a </w:t>
      </w:r>
      <w:r w:rsidRPr="006F53AB">
        <w:rPr>
          <w:sz w:val="24"/>
          <w:szCs w:val="24"/>
          <w:lang w:val="en-GB"/>
        </w:rPr>
        <w:t xml:space="preserve">private copy is allowed only </w:t>
      </w:r>
      <w:r>
        <w:rPr>
          <w:sz w:val="24"/>
          <w:szCs w:val="24"/>
          <w:lang w:val="en-GB"/>
        </w:rPr>
        <w:t>i</w:t>
      </w:r>
      <w:r w:rsidRPr="006F53AB">
        <w:rPr>
          <w:sz w:val="24"/>
          <w:szCs w:val="24"/>
          <w:lang w:val="en-GB"/>
        </w:rPr>
        <w:t>n the absence of direct or indirect commercial use</w:t>
      </w:r>
      <w:r>
        <w:rPr>
          <w:sz w:val="24"/>
          <w:szCs w:val="24"/>
          <w:lang w:val="en-GB"/>
        </w:rPr>
        <w:t>,</w:t>
      </w:r>
      <w:r w:rsidRPr="006F53AB">
        <w:rPr>
          <w:sz w:val="24"/>
          <w:szCs w:val="24"/>
          <w:lang w:val="en-GB"/>
        </w:rPr>
        <w:t xml:space="preserve"> and </w:t>
      </w:r>
      <w:r>
        <w:rPr>
          <w:sz w:val="24"/>
          <w:szCs w:val="24"/>
          <w:lang w:val="en-GB"/>
        </w:rPr>
        <w:t xml:space="preserve">subject to </w:t>
      </w:r>
      <w:r w:rsidRPr="006F53AB">
        <w:rPr>
          <w:sz w:val="24"/>
          <w:szCs w:val="24"/>
          <w:lang w:val="en-GB"/>
        </w:rPr>
        <w:t xml:space="preserve">fair remuneration. </w:t>
      </w:r>
      <w:r>
        <w:rPr>
          <w:sz w:val="24"/>
          <w:szCs w:val="24"/>
          <w:lang w:val="en-GB"/>
        </w:rPr>
        <w:t>Moreover</w:t>
      </w:r>
      <w:r w:rsidRPr="006F53AB">
        <w:rPr>
          <w:sz w:val="24"/>
          <w:szCs w:val="24"/>
          <w:lang w:val="en-GB"/>
        </w:rPr>
        <w:t>, even though this voluntary exception has been implemented in all the Member States</w:t>
      </w:r>
      <w:r>
        <w:rPr>
          <w:sz w:val="24"/>
          <w:szCs w:val="24"/>
          <w:lang w:val="en-GB"/>
        </w:rPr>
        <w:t>,</w:t>
      </w:r>
      <w:r w:rsidRPr="006F53AB">
        <w:rPr>
          <w:rStyle w:val="Rimandonotaapidipagina"/>
          <w:sz w:val="24"/>
          <w:szCs w:val="24"/>
          <w:lang w:val="en-GB"/>
        </w:rPr>
        <w:footnoteReference w:id="41"/>
      </w:r>
      <w:r w:rsidRPr="006F53AB">
        <w:rPr>
          <w:sz w:val="24"/>
          <w:szCs w:val="24"/>
          <w:lang w:val="en-GB"/>
        </w:rPr>
        <w:t xml:space="preserve"> national legislat</w:t>
      </w:r>
      <w:r>
        <w:rPr>
          <w:sz w:val="24"/>
          <w:szCs w:val="24"/>
          <w:lang w:val="en-GB"/>
        </w:rPr>
        <w:t xml:space="preserve">ures have </w:t>
      </w:r>
      <w:r w:rsidRPr="006F53AB">
        <w:rPr>
          <w:sz w:val="24"/>
          <w:szCs w:val="24"/>
          <w:lang w:val="en-GB"/>
        </w:rPr>
        <w:t xml:space="preserve">introduced the exception in </w:t>
      </w:r>
      <w:proofErr w:type="gramStart"/>
      <w:r w:rsidRPr="006F53AB">
        <w:rPr>
          <w:sz w:val="24"/>
          <w:szCs w:val="24"/>
          <w:lang w:val="en-GB"/>
        </w:rPr>
        <w:t>very different</w:t>
      </w:r>
      <w:proofErr w:type="gramEnd"/>
      <w:r w:rsidRPr="006F53AB">
        <w:rPr>
          <w:sz w:val="24"/>
          <w:szCs w:val="24"/>
          <w:lang w:val="en-GB"/>
        </w:rPr>
        <w:t xml:space="preserve"> way</w:t>
      </w:r>
      <w:r>
        <w:rPr>
          <w:sz w:val="24"/>
          <w:szCs w:val="24"/>
          <w:lang w:val="en-GB"/>
        </w:rPr>
        <w:t xml:space="preserve">s, resulting in considerable </w:t>
      </w:r>
      <w:r w:rsidRPr="006F53AB">
        <w:rPr>
          <w:sz w:val="24"/>
          <w:szCs w:val="24"/>
          <w:lang w:val="en-GB"/>
        </w:rPr>
        <w:t>fragmentation</w:t>
      </w:r>
      <w:r>
        <w:rPr>
          <w:sz w:val="24"/>
          <w:szCs w:val="24"/>
          <w:lang w:val="en-GB"/>
        </w:rPr>
        <w:t>.</w:t>
      </w:r>
      <w:r w:rsidRPr="006F53AB">
        <w:rPr>
          <w:rStyle w:val="Rimandonotaapidipagina"/>
          <w:sz w:val="24"/>
          <w:szCs w:val="24"/>
          <w:lang w:val="en-GB"/>
        </w:rPr>
        <w:footnoteReference w:id="42"/>
      </w:r>
      <w:r w:rsidRPr="006F53AB">
        <w:rPr>
          <w:sz w:val="24"/>
          <w:szCs w:val="24"/>
          <w:lang w:val="en-GB"/>
        </w:rPr>
        <w:t xml:space="preserve"> </w:t>
      </w:r>
    </w:p>
    <w:p w14:paraId="1A60CAC4" w14:textId="77777777" w:rsidR="00651F9B" w:rsidRPr="00AE695F" w:rsidRDefault="00651F9B" w:rsidP="00651F9B">
      <w:pPr>
        <w:ind w:firstLine="397"/>
        <w:jc w:val="both"/>
        <w:rPr>
          <w:sz w:val="24"/>
          <w:szCs w:val="24"/>
          <w:highlight w:val="yellow"/>
          <w:lang w:val="en-GB"/>
        </w:rPr>
      </w:pPr>
      <w:r w:rsidRPr="00ED3E51">
        <w:rPr>
          <w:sz w:val="24"/>
          <w:szCs w:val="24"/>
          <w:lang w:val="en-GB"/>
        </w:rPr>
        <w:t>For database</w:t>
      </w:r>
      <w:r>
        <w:rPr>
          <w:sz w:val="24"/>
          <w:szCs w:val="24"/>
          <w:lang w:val="en-GB"/>
        </w:rPr>
        <w:t>s</w:t>
      </w:r>
      <w:r w:rsidRPr="00ED3E51">
        <w:rPr>
          <w:sz w:val="24"/>
          <w:szCs w:val="24"/>
          <w:lang w:val="en-GB"/>
        </w:rPr>
        <w:t xml:space="preserve"> protected by copyright, a </w:t>
      </w:r>
      <w:r>
        <w:rPr>
          <w:sz w:val="24"/>
          <w:szCs w:val="24"/>
          <w:lang w:val="en-GB"/>
        </w:rPr>
        <w:t xml:space="preserve">possible </w:t>
      </w:r>
      <w:r w:rsidRPr="00ED3E51">
        <w:rPr>
          <w:sz w:val="24"/>
          <w:szCs w:val="24"/>
          <w:lang w:val="en-GB"/>
        </w:rPr>
        <w:t xml:space="preserve">exception </w:t>
      </w:r>
      <w:r>
        <w:rPr>
          <w:sz w:val="24"/>
          <w:szCs w:val="24"/>
          <w:lang w:val="en-GB"/>
        </w:rPr>
        <w:t xml:space="preserve">for </w:t>
      </w:r>
      <w:r w:rsidRPr="00ED3E51">
        <w:rPr>
          <w:sz w:val="24"/>
          <w:szCs w:val="24"/>
          <w:lang w:val="en-GB"/>
        </w:rPr>
        <w:t xml:space="preserve">TDM activities is provided by </w:t>
      </w:r>
      <w:bookmarkStart w:id="5" w:name="_Hlk40908040"/>
      <w:r>
        <w:rPr>
          <w:sz w:val="24"/>
          <w:szCs w:val="24"/>
          <w:lang w:val="en-GB"/>
        </w:rPr>
        <w:t>A</w:t>
      </w:r>
      <w:r w:rsidRPr="00ED3E51">
        <w:rPr>
          <w:sz w:val="24"/>
          <w:szCs w:val="24"/>
          <w:lang w:val="en-GB"/>
        </w:rPr>
        <w:t xml:space="preserve">rt. 6 of Directive (EU) 1996/9, </w:t>
      </w:r>
      <w:r>
        <w:rPr>
          <w:sz w:val="24"/>
          <w:szCs w:val="24"/>
          <w:lang w:val="en-GB"/>
        </w:rPr>
        <w:t xml:space="preserve">which permits </w:t>
      </w:r>
      <w:r w:rsidRPr="00ED3E51">
        <w:rPr>
          <w:sz w:val="24"/>
          <w:szCs w:val="24"/>
          <w:lang w:val="en-GB"/>
        </w:rPr>
        <w:t>the “normal use of the contents by the lawful user</w:t>
      </w:r>
      <w:bookmarkEnd w:id="5"/>
      <w:r w:rsidRPr="00ED3E51">
        <w:rPr>
          <w:sz w:val="24"/>
          <w:szCs w:val="24"/>
          <w:lang w:val="en-GB"/>
        </w:rPr>
        <w:t>”</w:t>
      </w:r>
      <w:r>
        <w:rPr>
          <w:sz w:val="24"/>
          <w:szCs w:val="24"/>
          <w:lang w:val="en-GB"/>
        </w:rPr>
        <w:t xml:space="preserve">. However, this exception is not clearly defined </w:t>
      </w:r>
      <w:r w:rsidRPr="00ED3E51">
        <w:rPr>
          <w:sz w:val="24"/>
          <w:szCs w:val="24"/>
          <w:lang w:val="en-GB"/>
        </w:rPr>
        <w:t xml:space="preserve">and is left to the interpretation </w:t>
      </w:r>
      <w:r>
        <w:rPr>
          <w:sz w:val="24"/>
          <w:szCs w:val="24"/>
          <w:lang w:val="en-GB"/>
        </w:rPr>
        <w:t>of the individual</w:t>
      </w:r>
      <w:r w:rsidRPr="00ED3E51">
        <w:rPr>
          <w:sz w:val="24"/>
          <w:szCs w:val="24"/>
          <w:lang w:val="en-GB"/>
        </w:rPr>
        <w:t xml:space="preserve"> Member States</w:t>
      </w:r>
      <w:r>
        <w:rPr>
          <w:sz w:val="24"/>
          <w:szCs w:val="24"/>
          <w:lang w:val="en-GB"/>
        </w:rPr>
        <w:t>.</w:t>
      </w:r>
      <w:r w:rsidRPr="00ED3E51">
        <w:rPr>
          <w:rStyle w:val="Rimandonotaapidipagina"/>
          <w:sz w:val="24"/>
          <w:szCs w:val="24"/>
          <w:lang w:val="en-GB"/>
        </w:rPr>
        <w:footnoteReference w:id="43"/>
      </w:r>
    </w:p>
    <w:p w14:paraId="0E4F7116" w14:textId="77777777" w:rsidR="00651F9B" w:rsidRPr="005D3078" w:rsidRDefault="00651F9B" w:rsidP="00651F9B">
      <w:pPr>
        <w:ind w:firstLine="397"/>
        <w:jc w:val="both"/>
        <w:rPr>
          <w:lang w:val="en-GB"/>
        </w:rPr>
      </w:pPr>
      <w:r w:rsidRPr="005D3078">
        <w:rPr>
          <w:sz w:val="24"/>
          <w:szCs w:val="24"/>
          <w:lang w:val="en-GB"/>
        </w:rPr>
        <w:lastRenderedPageBreak/>
        <w:t>For database</w:t>
      </w:r>
      <w:r>
        <w:rPr>
          <w:sz w:val="24"/>
          <w:szCs w:val="24"/>
          <w:lang w:val="en-GB"/>
        </w:rPr>
        <w:t>s</w:t>
      </w:r>
      <w:r w:rsidRPr="005D3078">
        <w:rPr>
          <w:sz w:val="24"/>
          <w:szCs w:val="24"/>
          <w:lang w:val="en-GB"/>
        </w:rPr>
        <w:t xml:space="preserve"> protected </w:t>
      </w:r>
      <w:r>
        <w:rPr>
          <w:sz w:val="24"/>
          <w:szCs w:val="24"/>
          <w:lang w:val="en-GB"/>
        </w:rPr>
        <w:t>by</w:t>
      </w:r>
      <w:r w:rsidRPr="005D3078">
        <w:rPr>
          <w:sz w:val="24"/>
          <w:szCs w:val="24"/>
          <w:lang w:val="en-GB"/>
        </w:rPr>
        <w:t xml:space="preserve"> </w:t>
      </w:r>
      <w:r w:rsidRPr="004975BD">
        <w:rPr>
          <w:i/>
          <w:iCs/>
          <w:sz w:val="24"/>
          <w:szCs w:val="24"/>
          <w:lang w:val="en-GB"/>
        </w:rPr>
        <w:t>sui generis</w:t>
      </w:r>
      <w:r w:rsidRPr="005D3078">
        <w:rPr>
          <w:sz w:val="24"/>
          <w:szCs w:val="24"/>
          <w:lang w:val="en-GB"/>
        </w:rPr>
        <w:t xml:space="preserve"> rights</w:t>
      </w:r>
      <w:r>
        <w:rPr>
          <w:sz w:val="24"/>
          <w:szCs w:val="24"/>
          <w:lang w:val="en-GB"/>
        </w:rPr>
        <w:t>,</w:t>
      </w:r>
      <w:r w:rsidRPr="005D3078">
        <w:rPr>
          <w:sz w:val="24"/>
          <w:szCs w:val="24"/>
          <w:lang w:val="en-GB"/>
        </w:rPr>
        <w:t xml:space="preserve"> it is possible to extract and/or re-utilize insubstantial parts of </w:t>
      </w:r>
      <w:r>
        <w:rPr>
          <w:sz w:val="24"/>
          <w:szCs w:val="24"/>
          <w:lang w:val="en-GB"/>
        </w:rPr>
        <w:t xml:space="preserve">their </w:t>
      </w:r>
      <w:r w:rsidRPr="005D3078">
        <w:rPr>
          <w:sz w:val="24"/>
          <w:szCs w:val="24"/>
          <w:lang w:val="en-GB"/>
        </w:rPr>
        <w:t xml:space="preserve">contents, evaluated qualitatively and/or quantitatively, for any purposes whatsoever, as provided </w:t>
      </w:r>
      <w:r>
        <w:rPr>
          <w:sz w:val="24"/>
          <w:szCs w:val="24"/>
          <w:lang w:val="en-GB"/>
        </w:rPr>
        <w:t xml:space="preserve">for </w:t>
      </w:r>
      <w:r w:rsidRPr="005D3078">
        <w:rPr>
          <w:sz w:val="24"/>
          <w:szCs w:val="24"/>
          <w:lang w:val="en-GB"/>
        </w:rPr>
        <w:t xml:space="preserve">by </w:t>
      </w:r>
      <w:r>
        <w:rPr>
          <w:sz w:val="24"/>
          <w:szCs w:val="24"/>
          <w:lang w:val="en-GB"/>
        </w:rPr>
        <w:t>A</w:t>
      </w:r>
      <w:r w:rsidRPr="005D3078">
        <w:rPr>
          <w:sz w:val="24"/>
          <w:szCs w:val="24"/>
          <w:lang w:val="en-GB"/>
        </w:rPr>
        <w:t>rt. 8</w:t>
      </w:r>
      <w:r>
        <w:rPr>
          <w:sz w:val="24"/>
          <w:szCs w:val="24"/>
          <w:lang w:val="en-GB"/>
        </w:rPr>
        <w:t>.1</w:t>
      </w:r>
      <w:r w:rsidRPr="005D3078">
        <w:rPr>
          <w:sz w:val="24"/>
          <w:szCs w:val="24"/>
          <w:lang w:val="en-GB"/>
        </w:rPr>
        <w:t xml:space="preserve"> of Directive 96/9. However, </w:t>
      </w:r>
      <w:r>
        <w:rPr>
          <w:sz w:val="24"/>
          <w:szCs w:val="24"/>
          <w:lang w:val="en-GB"/>
        </w:rPr>
        <w:t xml:space="preserve">such TDM </w:t>
      </w:r>
      <w:r w:rsidRPr="005D3078">
        <w:rPr>
          <w:sz w:val="24"/>
          <w:szCs w:val="24"/>
          <w:lang w:val="en-GB"/>
        </w:rPr>
        <w:t>activity may involve the copy</w:t>
      </w:r>
      <w:r>
        <w:rPr>
          <w:sz w:val="24"/>
          <w:szCs w:val="24"/>
          <w:lang w:val="en-GB"/>
        </w:rPr>
        <w:t>ing</w:t>
      </w:r>
      <w:r w:rsidRPr="005D3078">
        <w:rPr>
          <w:sz w:val="24"/>
          <w:szCs w:val="24"/>
          <w:lang w:val="en-GB"/>
        </w:rPr>
        <w:t xml:space="preserve"> of huge amount of data and </w:t>
      </w:r>
      <w:proofErr w:type="gramStart"/>
      <w:r w:rsidRPr="005D3078">
        <w:rPr>
          <w:sz w:val="24"/>
          <w:szCs w:val="24"/>
          <w:lang w:val="en-GB"/>
        </w:rPr>
        <w:t>be in conflict with</w:t>
      </w:r>
      <w:proofErr w:type="gramEnd"/>
      <w:r w:rsidRPr="005D3078">
        <w:rPr>
          <w:sz w:val="24"/>
          <w:szCs w:val="24"/>
          <w:lang w:val="en-GB"/>
        </w:rPr>
        <w:t xml:space="preserve"> such provisions.</w:t>
      </w:r>
    </w:p>
    <w:p w14:paraId="18B20F18" w14:textId="38F479C3" w:rsidR="00651F9B" w:rsidRDefault="00651F9B" w:rsidP="00651F9B">
      <w:pPr>
        <w:ind w:firstLine="397"/>
        <w:jc w:val="both"/>
        <w:rPr>
          <w:sz w:val="24"/>
          <w:szCs w:val="24"/>
          <w:lang w:val="en-GB"/>
        </w:rPr>
      </w:pPr>
      <w:r>
        <w:rPr>
          <w:sz w:val="24"/>
          <w:szCs w:val="24"/>
          <w:lang w:val="en-GB"/>
        </w:rPr>
        <w:t>Finally</w:t>
      </w:r>
      <w:r w:rsidRPr="005D3078">
        <w:rPr>
          <w:sz w:val="24"/>
          <w:szCs w:val="24"/>
          <w:lang w:val="en-GB"/>
        </w:rPr>
        <w:t xml:space="preserve">, a research exception limited to a specific purpose, </w:t>
      </w:r>
      <w:r>
        <w:rPr>
          <w:sz w:val="24"/>
          <w:szCs w:val="24"/>
          <w:lang w:val="en-GB"/>
        </w:rPr>
        <w:t>disallowing</w:t>
      </w:r>
      <w:r w:rsidRPr="005D3078">
        <w:rPr>
          <w:sz w:val="24"/>
          <w:szCs w:val="24"/>
          <w:lang w:val="en-GB"/>
        </w:rPr>
        <w:t xml:space="preserve"> both direct and indirect commercial activities</w:t>
      </w:r>
      <w:r>
        <w:rPr>
          <w:sz w:val="24"/>
          <w:szCs w:val="24"/>
          <w:lang w:val="en-GB"/>
        </w:rPr>
        <w:t xml:space="preserve">, </w:t>
      </w:r>
      <w:r w:rsidRPr="005D3078">
        <w:rPr>
          <w:sz w:val="24"/>
          <w:szCs w:val="24"/>
          <w:lang w:val="en-GB"/>
        </w:rPr>
        <w:t>is provided</w:t>
      </w:r>
      <w:r w:rsidRPr="005E3915">
        <w:rPr>
          <w:sz w:val="24"/>
          <w:szCs w:val="24"/>
          <w:lang w:val="en-GB"/>
        </w:rPr>
        <w:t xml:space="preserve"> </w:t>
      </w:r>
      <w:r w:rsidRPr="005D3078">
        <w:rPr>
          <w:sz w:val="24"/>
          <w:szCs w:val="24"/>
          <w:lang w:val="en-GB"/>
        </w:rPr>
        <w:t>for</w:t>
      </w:r>
      <w:r w:rsidR="0057081A">
        <w:rPr>
          <w:sz w:val="24"/>
          <w:szCs w:val="24"/>
          <w:lang w:val="en-GB"/>
        </w:rPr>
        <w:t xml:space="preserve"> </w:t>
      </w:r>
      <w:r w:rsidRPr="005D3078">
        <w:rPr>
          <w:sz w:val="24"/>
          <w:szCs w:val="24"/>
          <w:lang w:val="en-GB"/>
        </w:rPr>
        <w:t xml:space="preserve">copyright and </w:t>
      </w:r>
      <w:r w:rsidRPr="004975BD">
        <w:rPr>
          <w:i/>
          <w:iCs/>
          <w:sz w:val="24"/>
          <w:szCs w:val="24"/>
          <w:lang w:val="en-GB"/>
        </w:rPr>
        <w:t>sui generis</w:t>
      </w:r>
      <w:r w:rsidRPr="005D3078">
        <w:rPr>
          <w:sz w:val="24"/>
          <w:szCs w:val="24"/>
          <w:lang w:val="en-GB"/>
        </w:rPr>
        <w:t xml:space="preserve"> database rights</w:t>
      </w:r>
      <w:r>
        <w:rPr>
          <w:sz w:val="24"/>
          <w:szCs w:val="24"/>
          <w:lang w:val="en-GB"/>
        </w:rPr>
        <w:t>.</w:t>
      </w:r>
      <w:r>
        <w:rPr>
          <w:rStyle w:val="Rimandonotaapidipagina"/>
          <w:sz w:val="24"/>
          <w:szCs w:val="24"/>
          <w:lang w:val="en-GB"/>
        </w:rPr>
        <w:footnoteReference w:id="44"/>
      </w:r>
    </w:p>
    <w:p w14:paraId="01F9C4BE" w14:textId="59B45936" w:rsidR="00651F9B" w:rsidRPr="007A4951" w:rsidRDefault="00651F9B" w:rsidP="00651F9B">
      <w:pPr>
        <w:ind w:firstLine="397"/>
        <w:jc w:val="both"/>
        <w:rPr>
          <w:sz w:val="24"/>
          <w:szCs w:val="24"/>
          <w:lang w:val="en-GB"/>
        </w:rPr>
      </w:pPr>
      <w:r w:rsidRPr="007A4951">
        <w:rPr>
          <w:sz w:val="24"/>
          <w:szCs w:val="24"/>
          <w:lang w:val="en-GB"/>
        </w:rPr>
        <w:t>In conclusion, in a system like the European Union</w:t>
      </w:r>
      <w:r>
        <w:rPr>
          <w:sz w:val="24"/>
          <w:szCs w:val="24"/>
          <w:lang w:val="en-GB"/>
        </w:rPr>
        <w:t>’s,</w:t>
      </w:r>
      <w:r w:rsidRPr="007A4951">
        <w:rPr>
          <w:sz w:val="24"/>
          <w:szCs w:val="24"/>
          <w:lang w:val="en-GB"/>
        </w:rPr>
        <w:t xml:space="preserve"> </w:t>
      </w:r>
      <w:r>
        <w:rPr>
          <w:sz w:val="24"/>
          <w:szCs w:val="24"/>
          <w:lang w:val="en-GB"/>
        </w:rPr>
        <w:t>with a</w:t>
      </w:r>
      <w:r w:rsidR="000A1A2E">
        <w:rPr>
          <w:sz w:val="24"/>
          <w:szCs w:val="24"/>
          <w:lang w:val="en-GB"/>
        </w:rPr>
        <w:t xml:space="preserve"> limited</w:t>
      </w:r>
      <w:r>
        <w:rPr>
          <w:sz w:val="24"/>
          <w:szCs w:val="24"/>
          <w:lang w:val="en-GB"/>
        </w:rPr>
        <w:t xml:space="preserve"> list of </w:t>
      </w:r>
      <w:r w:rsidRPr="007A4951">
        <w:rPr>
          <w:sz w:val="24"/>
          <w:szCs w:val="24"/>
          <w:lang w:val="en-GB"/>
        </w:rPr>
        <w:t>exemptions</w:t>
      </w:r>
      <w:r>
        <w:rPr>
          <w:sz w:val="24"/>
          <w:szCs w:val="24"/>
          <w:lang w:val="en-GB"/>
        </w:rPr>
        <w:t xml:space="preserve">, which in any case are </w:t>
      </w:r>
      <w:r w:rsidRPr="007A4951">
        <w:rPr>
          <w:sz w:val="24"/>
          <w:szCs w:val="24"/>
          <w:lang w:val="en-GB"/>
        </w:rPr>
        <w:t xml:space="preserve">interpreted restrictively, there </w:t>
      </w:r>
      <w:r>
        <w:rPr>
          <w:sz w:val="24"/>
          <w:szCs w:val="24"/>
          <w:lang w:val="en-GB"/>
        </w:rPr>
        <w:t>was previously</w:t>
      </w:r>
      <w:r w:rsidRPr="007A4951">
        <w:rPr>
          <w:sz w:val="24"/>
          <w:szCs w:val="24"/>
          <w:lang w:val="en-GB"/>
        </w:rPr>
        <w:t xml:space="preserve"> </w:t>
      </w:r>
      <w:r>
        <w:rPr>
          <w:sz w:val="24"/>
          <w:szCs w:val="24"/>
          <w:lang w:val="en-GB"/>
        </w:rPr>
        <w:t xml:space="preserve">little room for certainty as to the </w:t>
      </w:r>
      <w:r w:rsidRPr="007A4951">
        <w:rPr>
          <w:sz w:val="24"/>
          <w:szCs w:val="24"/>
          <w:lang w:val="en-GB"/>
        </w:rPr>
        <w:t xml:space="preserve">legality </w:t>
      </w:r>
      <w:r>
        <w:rPr>
          <w:sz w:val="24"/>
          <w:szCs w:val="24"/>
          <w:lang w:val="en-GB"/>
        </w:rPr>
        <w:t xml:space="preserve">of such activities as </w:t>
      </w:r>
      <w:r w:rsidRPr="007A4951">
        <w:rPr>
          <w:sz w:val="24"/>
          <w:szCs w:val="24"/>
          <w:lang w:val="en-GB"/>
        </w:rPr>
        <w:t>TDM</w:t>
      </w:r>
      <w:r>
        <w:rPr>
          <w:sz w:val="24"/>
          <w:szCs w:val="24"/>
          <w:lang w:val="en-GB"/>
        </w:rPr>
        <w:t>. P</w:t>
      </w:r>
      <w:r w:rsidRPr="007A4951">
        <w:rPr>
          <w:sz w:val="24"/>
          <w:szCs w:val="24"/>
          <w:lang w:val="en-GB"/>
        </w:rPr>
        <w:t xml:space="preserve">rovision of a specific exception was </w:t>
      </w:r>
      <w:r>
        <w:rPr>
          <w:sz w:val="24"/>
          <w:szCs w:val="24"/>
          <w:lang w:val="en-GB"/>
        </w:rPr>
        <w:t xml:space="preserve">therefore </w:t>
      </w:r>
      <w:r w:rsidRPr="007A4951">
        <w:rPr>
          <w:sz w:val="24"/>
          <w:szCs w:val="24"/>
          <w:lang w:val="en-GB"/>
        </w:rPr>
        <w:t>necessary</w:t>
      </w:r>
      <w:r>
        <w:rPr>
          <w:sz w:val="24"/>
          <w:szCs w:val="24"/>
          <w:lang w:val="en-GB"/>
        </w:rPr>
        <w:t>, as existing limitations did not seem to accommodate the specific characteristics of TMD activities</w:t>
      </w:r>
      <w:r w:rsidRPr="007A4951">
        <w:rPr>
          <w:sz w:val="24"/>
          <w:szCs w:val="24"/>
          <w:lang w:val="en-GB"/>
        </w:rPr>
        <w:t>.</w:t>
      </w:r>
    </w:p>
    <w:p w14:paraId="65FD6944" w14:textId="77777777" w:rsidR="00651F9B" w:rsidRPr="007A4951" w:rsidRDefault="00651F9B" w:rsidP="00651F9B">
      <w:pPr>
        <w:ind w:firstLine="397"/>
        <w:jc w:val="both"/>
        <w:rPr>
          <w:b/>
          <w:bCs/>
          <w:sz w:val="24"/>
          <w:szCs w:val="24"/>
          <w:lang w:val="en-GB"/>
        </w:rPr>
      </w:pPr>
      <w:r w:rsidRPr="007A4951">
        <w:rPr>
          <w:b/>
          <w:bCs/>
          <w:sz w:val="24"/>
          <w:szCs w:val="24"/>
          <w:lang w:val="en-GB"/>
        </w:rPr>
        <w:t xml:space="preserve">5. </w:t>
      </w:r>
      <w:r>
        <w:rPr>
          <w:b/>
          <w:bCs/>
          <w:sz w:val="24"/>
          <w:szCs w:val="24"/>
          <w:lang w:val="en-GB"/>
        </w:rPr>
        <w:t>An update to copyright: t</w:t>
      </w:r>
      <w:r w:rsidRPr="007A4951">
        <w:rPr>
          <w:b/>
          <w:bCs/>
          <w:sz w:val="24"/>
          <w:szCs w:val="24"/>
          <w:lang w:val="en-GB"/>
        </w:rPr>
        <w:t>he new mandatory exceptions</w:t>
      </w:r>
    </w:p>
    <w:p w14:paraId="45BC310B" w14:textId="77777777" w:rsidR="00651F9B" w:rsidRPr="007A4951" w:rsidRDefault="00651F9B" w:rsidP="00651F9B">
      <w:pPr>
        <w:ind w:firstLine="397"/>
        <w:jc w:val="both"/>
        <w:rPr>
          <w:sz w:val="24"/>
          <w:szCs w:val="24"/>
          <w:lang w:val="en-GB"/>
        </w:rPr>
      </w:pPr>
      <w:r w:rsidRPr="007A4951">
        <w:rPr>
          <w:sz w:val="24"/>
          <w:szCs w:val="24"/>
          <w:lang w:val="en-GB"/>
        </w:rPr>
        <w:t xml:space="preserve">Given the legal uncertainty and the increasing relevance of TDM, the European Union legislator introduced, with Directive 2019/790 </w:t>
      </w:r>
      <w:r>
        <w:rPr>
          <w:sz w:val="24"/>
          <w:szCs w:val="24"/>
          <w:lang w:val="en-GB"/>
        </w:rPr>
        <w:t>(</w:t>
      </w:r>
      <w:r w:rsidRPr="007A4951">
        <w:rPr>
          <w:sz w:val="24"/>
          <w:szCs w:val="24"/>
          <w:lang w:val="en-GB"/>
        </w:rPr>
        <w:t>on copyright in the Digital Single Market</w:t>
      </w:r>
      <w:r>
        <w:rPr>
          <w:sz w:val="24"/>
          <w:szCs w:val="24"/>
          <w:lang w:val="en-GB"/>
        </w:rPr>
        <w:t>)</w:t>
      </w:r>
      <w:r w:rsidRPr="007A4951">
        <w:rPr>
          <w:sz w:val="24"/>
          <w:szCs w:val="24"/>
          <w:lang w:val="en-GB"/>
        </w:rPr>
        <w:t>, two mandatory exceptions for TDM, the first for purposes of scientific research (</w:t>
      </w:r>
      <w:r>
        <w:rPr>
          <w:sz w:val="24"/>
          <w:szCs w:val="24"/>
          <w:lang w:val="en-GB"/>
        </w:rPr>
        <w:t>A</w:t>
      </w:r>
      <w:r w:rsidRPr="007A4951">
        <w:rPr>
          <w:sz w:val="24"/>
          <w:szCs w:val="24"/>
          <w:lang w:val="en-GB"/>
        </w:rPr>
        <w:t>rt. 3), the second for all other purposes (</w:t>
      </w:r>
      <w:r>
        <w:rPr>
          <w:sz w:val="24"/>
          <w:szCs w:val="24"/>
          <w:lang w:val="en-GB"/>
        </w:rPr>
        <w:t>A</w:t>
      </w:r>
      <w:r w:rsidRPr="007A4951">
        <w:rPr>
          <w:sz w:val="24"/>
          <w:szCs w:val="24"/>
          <w:lang w:val="en-GB"/>
        </w:rPr>
        <w:t xml:space="preserve">rt. 4). </w:t>
      </w:r>
    </w:p>
    <w:p w14:paraId="5FB24D95" w14:textId="77777777" w:rsidR="00651F9B" w:rsidRPr="007A4951" w:rsidRDefault="00651F9B" w:rsidP="00651F9B">
      <w:pPr>
        <w:ind w:firstLine="397"/>
        <w:jc w:val="both"/>
        <w:rPr>
          <w:sz w:val="24"/>
          <w:szCs w:val="24"/>
          <w:lang w:val="en-GB"/>
        </w:rPr>
      </w:pPr>
      <w:r w:rsidRPr="007A4951">
        <w:rPr>
          <w:sz w:val="24"/>
          <w:szCs w:val="24"/>
          <w:lang w:val="en-GB"/>
        </w:rPr>
        <w:t xml:space="preserve">Art. 3 </w:t>
      </w:r>
      <w:r>
        <w:rPr>
          <w:sz w:val="24"/>
          <w:szCs w:val="24"/>
          <w:lang w:val="en-GB"/>
        </w:rPr>
        <w:t xml:space="preserve">permits </w:t>
      </w:r>
      <w:r w:rsidRPr="007A4951">
        <w:rPr>
          <w:sz w:val="24"/>
          <w:szCs w:val="24"/>
          <w:lang w:val="en-GB"/>
        </w:rPr>
        <w:t xml:space="preserve">the extraction and reproduction of texts and data </w:t>
      </w:r>
      <w:r>
        <w:rPr>
          <w:sz w:val="24"/>
          <w:szCs w:val="24"/>
          <w:lang w:val="en-GB"/>
        </w:rPr>
        <w:t>from</w:t>
      </w:r>
      <w:r w:rsidRPr="007A4951">
        <w:rPr>
          <w:sz w:val="24"/>
          <w:szCs w:val="24"/>
          <w:lang w:val="en-GB"/>
        </w:rPr>
        <w:t xml:space="preserve"> works or other subject matter lawfully accessible</w:t>
      </w:r>
      <w:r>
        <w:rPr>
          <w:sz w:val="24"/>
          <w:szCs w:val="24"/>
          <w:lang w:val="en-GB"/>
        </w:rPr>
        <w:t>,</w:t>
      </w:r>
      <w:r w:rsidRPr="007A4951">
        <w:rPr>
          <w:sz w:val="24"/>
          <w:szCs w:val="24"/>
          <w:lang w:val="en-GB"/>
        </w:rPr>
        <w:t xml:space="preserve"> </w:t>
      </w:r>
      <w:r>
        <w:rPr>
          <w:sz w:val="24"/>
          <w:szCs w:val="24"/>
          <w:lang w:val="en-GB"/>
        </w:rPr>
        <w:t xml:space="preserve">thus </w:t>
      </w:r>
      <w:r w:rsidRPr="007A4951">
        <w:rPr>
          <w:sz w:val="24"/>
          <w:szCs w:val="24"/>
          <w:lang w:val="en-GB"/>
        </w:rPr>
        <w:t xml:space="preserve">providing an exception </w:t>
      </w:r>
      <w:r>
        <w:rPr>
          <w:sz w:val="24"/>
          <w:szCs w:val="24"/>
          <w:lang w:val="en-GB"/>
        </w:rPr>
        <w:t xml:space="preserve">where the </w:t>
      </w:r>
      <w:r w:rsidRPr="007A4951">
        <w:rPr>
          <w:sz w:val="24"/>
          <w:szCs w:val="24"/>
          <w:lang w:val="en-GB"/>
        </w:rPr>
        <w:t xml:space="preserve">reproduction of </w:t>
      </w:r>
      <w:r>
        <w:rPr>
          <w:sz w:val="24"/>
          <w:szCs w:val="24"/>
          <w:lang w:val="en-GB"/>
        </w:rPr>
        <w:t xml:space="preserve">copyright-protected </w:t>
      </w:r>
      <w:r w:rsidRPr="007A4951">
        <w:rPr>
          <w:sz w:val="24"/>
          <w:szCs w:val="24"/>
          <w:lang w:val="en-GB"/>
        </w:rPr>
        <w:t>works</w:t>
      </w:r>
      <w:r>
        <w:rPr>
          <w:sz w:val="24"/>
          <w:szCs w:val="24"/>
          <w:lang w:val="en-GB"/>
        </w:rPr>
        <w:t xml:space="preserve"> is concerned. This exception also applies</w:t>
      </w:r>
      <w:r w:rsidRPr="007A4951">
        <w:rPr>
          <w:sz w:val="24"/>
          <w:szCs w:val="24"/>
          <w:lang w:val="en-GB"/>
        </w:rPr>
        <w:t xml:space="preserve"> to the new right </w:t>
      </w:r>
      <w:r>
        <w:rPr>
          <w:sz w:val="24"/>
          <w:szCs w:val="24"/>
          <w:lang w:val="en-GB"/>
        </w:rPr>
        <w:t xml:space="preserve">granted </w:t>
      </w:r>
      <w:r w:rsidRPr="007A4951">
        <w:rPr>
          <w:sz w:val="24"/>
          <w:szCs w:val="24"/>
          <w:lang w:val="en-GB"/>
        </w:rPr>
        <w:t xml:space="preserve">to publishers of press publications by </w:t>
      </w:r>
      <w:r>
        <w:rPr>
          <w:sz w:val="24"/>
          <w:szCs w:val="24"/>
          <w:lang w:val="en-GB"/>
        </w:rPr>
        <w:t>A</w:t>
      </w:r>
      <w:r w:rsidRPr="007A4951">
        <w:rPr>
          <w:sz w:val="24"/>
          <w:szCs w:val="24"/>
          <w:lang w:val="en-GB"/>
        </w:rPr>
        <w:t xml:space="preserve">rt. 15 of the </w:t>
      </w:r>
      <w:r>
        <w:rPr>
          <w:sz w:val="24"/>
          <w:szCs w:val="24"/>
          <w:lang w:val="en-GB"/>
        </w:rPr>
        <w:t xml:space="preserve">DSM </w:t>
      </w:r>
      <w:r w:rsidRPr="007A4951">
        <w:rPr>
          <w:sz w:val="24"/>
          <w:szCs w:val="24"/>
          <w:lang w:val="en-GB"/>
        </w:rPr>
        <w:t xml:space="preserve">Directive, </w:t>
      </w:r>
      <w:r>
        <w:rPr>
          <w:sz w:val="24"/>
          <w:szCs w:val="24"/>
          <w:lang w:val="en-GB"/>
        </w:rPr>
        <w:t xml:space="preserve">and </w:t>
      </w:r>
      <w:r w:rsidRPr="007A4951">
        <w:rPr>
          <w:sz w:val="24"/>
          <w:szCs w:val="24"/>
          <w:lang w:val="en-GB"/>
        </w:rPr>
        <w:t xml:space="preserve">the right to prevent extraction </w:t>
      </w:r>
      <w:r>
        <w:rPr>
          <w:sz w:val="24"/>
          <w:szCs w:val="24"/>
          <w:lang w:val="en-GB"/>
        </w:rPr>
        <w:t xml:space="preserve">accorded </w:t>
      </w:r>
      <w:r w:rsidRPr="007A4951">
        <w:rPr>
          <w:sz w:val="24"/>
          <w:szCs w:val="24"/>
          <w:lang w:val="en-GB"/>
        </w:rPr>
        <w:t xml:space="preserve">to database owners. </w:t>
      </w:r>
      <w:r>
        <w:rPr>
          <w:sz w:val="24"/>
          <w:szCs w:val="24"/>
          <w:lang w:val="en-GB"/>
        </w:rPr>
        <w:t xml:space="preserve">Copies of the contents </w:t>
      </w:r>
      <w:r w:rsidRPr="00637324">
        <w:rPr>
          <w:sz w:val="24"/>
          <w:szCs w:val="24"/>
          <w:lang w:val="en-GB"/>
        </w:rPr>
        <w:t xml:space="preserve">may be retained for </w:t>
      </w:r>
      <w:r>
        <w:rPr>
          <w:sz w:val="24"/>
          <w:szCs w:val="24"/>
          <w:lang w:val="en-GB"/>
        </w:rPr>
        <w:t xml:space="preserve">the purpose of </w:t>
      </w:r>
      <w:r w:rsidRPr="00637324">
        <w:rPr>
          <w:sz w:val="24"/>
          <w:szCs w:val="24"/>
          <w:lang w:val="en-GB"/>
        </w:rPr>
        <w:t>scientific research, including for the verification of research results.</w:t>
      </w:r>
      <w:r>
        <w:rPr>
          <w:sz w:val="24"/>
          <w:szCs w:val="24"/>
          <w:lang w:val="en-GB"/>
        </w:rPr>
        <w:t xml:space="preserve"> </w:t>
      </w:r>
      <w:r w:rsidRPr="007A4951">
        <w:rPr>
          <w:sz w:val="24"/>
          <w:szCs w:val="24"/>
          <w:lang w:val="en-GB"/>
        </w:rPr>
        <w:t>However, the scope of the exception relates to a restricted list of beneficiaries, research organi</w:t>
      </w:r>
      <w:r>
        <w:rPr>
          <w:sz w:val="24"/>
          <w:szCs w:val="24"/>
          <w:lang w:val="en-GB"/>
        </w:rPr>
        <w:t>z</w:t>
      </w:r>
      <w:r w:rsidRPr="007A4951">
        <w:rPr>
          <w:sz w:val="24"/>
          <w:szCs w:val="24"/>
          <w:lang w:val="en-GB"/>
        </w:rPr>
        <w:t>ations and cultural heritage institutions, which either act “on a not-for-profit basis or in the context of a public-interest mission recognised by the State”</w:t>
      </w:r>
      <w:r>
        <w:rPr>
          <w:sz w:val="24"/>
          <w:szCs w:val="24"/>
          <w:lang w:val="en-GB"/>
        </w:rPr>
        <w:t>.</w:t>
      </w:r>
      <w:r w:rsidRPr="007A4951">
        <w:rPr>
          <w:rStyle w:val="Rimandonotaapidipagina"/>
          <w:sz w:val="24"/>
          <w:szCs w:val="24"/>
          <w:lang w:val="en-GB"/>
        </w:rPr>
        <w:footnoteReference w:id="45"/>
      </w:r>
      <w:r w:rsidRPr="007A4951">
        <w:rPr>
          <w:sz w:val="24"/>
          <w:szCs w:val="24"/>
          <w:lang w:val="en-GB"/>
        </w:rPr>
        <w:t xml:space="preserve"> According to </w:t>
      </w:r>
      <w:r>
        <w:rPr>
          <w:sz w:val="24"/>
          <w:szCs w:val="24"/>
          <w:lang w:val="en-GB"/>
        </w:rPr>
        <w:t>A</w:t>
      </w:r>
      <w:r w:rsidRPr="007A4951">
        <w:rPr>
          <w:sz w:val="24"/>
          <w:szCs w:val="24"/>
          <w:lang w:val="en-GB"/>
        </w:rPr>
        <w:t>rt. 7.1, this exception cannot be overridden by contract.</w:t>
      </w:r>
    </w:p>
    <w:p w14:paraId="56573E1F" w14:textId="77777777" w:rsidR="00651F9B" w:rsidRDefault="00651F9B" w:rsidP="00651F9B">
      <w:pPr>
        <w:ind w:firstLine="397"/>
        <w:jc w:val="both"/>
        <w:rPr>
          <w:sz w:val="24"/>
          <w:szCs w:val="24"/>
          <w:lang w:val="en-GB"/>
        </w:rPr>
      </w:pPr>
      <w:r w:rsidRPr="007A4951">
        <w:rPr>
          <w:sz w:val="24"/>
          <w:szCs w:val="24"/>
          <w:lang w:val="en-GB"/>
        </w:rPr>
        <w:t>The second exception</w:t>
      </w:r>
      <w:r>
        <w:rPr>
          <w:sz w:val="24"/>
          <w:szCs w:val="24"/>
          <w:lang w:val="en-GB"/>
        </w:rPr>
        <w:t>, contained</w:t>
      </w:r>
      <w:r w:rsidRPr="007A4951">
        <w:rPr>
          <w:sz w:val="24"/>
          <w:szCs w:val="24"/>
          <w:lang w:val="en-GB"/>
        </w:rPr>
        <w:t xml:space="preserve"> in </w:t>
      </w:r>
      <w:r>
        <w:rPr>
          <w:sz w:val="24"/>
          <w:szCs w:val="24"/>
          <w:lang w:val="en-GB"/>
        </w:rPr>
        <w:t>A</w:t>
      </w:r>
      <w:r w:rsidRPr="007A4951">
        <w:rPr>
          <w:sz w:val="24"/>
          <w:szCs w:val="24"/>
          <w:lang w:val="en-GB"/>
        </w:rPr>
        <w:t>rt. 4</w:t>
      </w:r>
      <w:r>
        <w:rPr>
          <w:sz w:val="24"/>
          <w:szCs w:val="24"/>
          <w:lang w:val="en-GB"/>
        </w:rPr>
        <w:t>,</w:t>
      </w:r>
      <w:r w:rsidRPr="007A4951">
        <w:rPr>
          <w:sz w:val="24"/>
          <w:szCs w:val="24"/>
          <w:lang w:val="en-GB"/>
        </w:rPr>
        <w:t xml:space="preserve"> is of particular importance for the present dissertation: it does not require </w:t>
      </w:r>
      <w:r>
        <w:rPr>
          <w:sz w:val="24"/>
          <w:szCs w:val="24"/>
          <w:lang w:val="en-GB"/>
        </w:rPr>
        <w:t xml:space="preserve">that beneficiaries have </w:t>
      </w:r>
      <w:r w:rsidRPr="007A4951">
        <w:rPr>
          <w:sz w:val="24"/>
          <w:szCs w:val="24"/>
          <w:lang w:val="en-GB"/>
        </w:rPr>
        <w:t>a specific qualification</w:t>
      </w:r>
      <w:r>
        <w:rPr>
          <w:sz w:val="24"/>
          <w:szCs w:val="24"/>
          <w:lang w:val="en-GB"/>
        </w:rPr>
        <w:t>,</w:t>
      </w:r>
      <w:r w:rsidRPr="007A4951">
        <w:rPr>
          <w:sz w:val="24"/>
          <w:szCs w:val="24"/>
          <w:lang w:val="en-GB"/>
        </w:rPr>
        <w:t xml:space="preserve"> and </w:t>
      </w:r>
      <w:r>
        <w:rPr>
          <w:sz w:val="24"/>
          <w:szCs w:val="24"/>
          <w:lang w:val="en-GB"/>
        </w:rPr>
        <w:t xml:space="preserve">it </w:t>
      </w:r>
      <w:r w:rsidRPr="007A4951">
        <w:rPr>
          <w:sz w:val="24"/>
          <w:szCs w:val="24"/>
          <w:lang w:val="en-GB"/>
        </w:rPr>
        <w:t xml:space="preserve">comprises all the activities of extraction and reproduction of </w:t>
      </w:r>
      <w:r>
        <w:rPr>
          <w:sz w:val="24"/>
          <w:szCs w:val="24"/>
          <w:lang w:val="en-GB"/>
        </w:rPr>
        <w:t xml:space="preserve">legally accessible </w:t>
      </w:r>
      <w:r w:rsidRPr="007A4951">
        <w:rPr>
          <w:sz w:val="24"/>
          <w:szCs w:val="24"/>
          <w:lang w:val="en-GB"/>
        </w:rPr>
        <w:t xml:space="preserve">works and other subjects </w:t>
      </w:r>
      <w:r>
        <w:rPr>
          <w:sz w:val="24"/>
          <w:szCs w:val="24"/>
          <w:lang w:val="en-GB"/>
        </w:rPr>
        <w:t>that</w:t>
      </w:r>
      <w:r w:rsidRPr="007A4951">
        <w:rPr>
          <w:sz w:val="24"/>
          <w:szCs w:val="24"/>
          <w:lang w:val="en-GB"/>
        </w:rPr>
        <w:t xml:space="preserve"> fall outside the scope of the exception for research purposes or other applicable exceptions. Furthermore, the exc</w:t>
      </w:r>
      <w:r>
        <w:rPr>
          <w:sz w:val="24"/>
          <w:szCs w:val="24"/>
          <w:lang w:val="en-GB"/>
        </w:rPr>
        <w:t>eption</w:t>
      </w:r>
      <w:r w:rsidRPr="007A4951">
        <w:rPr>
          <w:sz w:val="24"/>
          <w:szCs w:val="24"/>
          <w:lang w:val="en-GB"/>
        </w:rPr>
        <w:t xml:space="preserve"> is </w:t>
      </w:r>
      <w:r>
        <w:rPr>
          <w:sz w:val="24"/>
          <w:szCs w:val="24"/>
          <w:lang w:val="en-GB"/>
        </w:rPr>
        <w:t xml:space="preserve">also </w:t>
      </w:r>
      <w:r w:rsidRPr="007A4951">
        <w:rPr>
          <w:sz w:val="24"/>
          <w:szCs w:val="24"/>
          <w:lang w:val="en-GB"/>
        </w:rPr>
        <w:t xml:space="preserve">extended to </w:t>
      </w:r>
      <w:r>
        <w:rPr>
          <w:sz w:val="24"/>
          <w:szCs w:val="24"/>
          <w:lang w:val="en-GB"/>
        </w:rPr>
        <w:t xml:space="preserve">software authors’ rights </w:t>
      </w:r>
      <w:r w:rsidRPr="007A4951">
        <w:rPr>
          <w:sz w:val="24"/>
          <w:szCs w:val="24"/>
          <w:lang w:val="en-GB"/>
        </w:rPr>
        <w:t xml:space="preserve">of reproduction </w:t>
      </w:r>
      <w:r>
        <w:rPr>
          <w:sz w:val="24"/>
          <w:szCs w:val="24"/>
          <w:lang w:val="en-GB"/>
        </w:rPr>
        <w:t xml:space="preserve">and </w:t>
      </w:r>
      <w:r w:rsidRPr="007A4951">
        <w:rPr>
          <w:sz w:val="24"/>
          <w:szCs w:val="24"/>
          <w:lang w:val="en-GB"/>
        </w:rPr>
        <w:t xml:space="preserve">adaptation </w:t>
      </w:r>
      <w:r>
        <w:rPr>
          <w:sz w:val="24"/>
          <w:szCs w:val="24"/>
          <w:lang w:val="en-GB"/>
        </w:rPr>
        <w:t>provided by A</w:t>
      </w:r>
      <w:r w:rsidRPr="007A4951">
        <w:rPr>
          <w:sz w:val="24"/>
          <w:szCs w:val="24"/>
          <w:lang w:val="en-GB"/>
        </w:rPr>
        <w:t>rt. 4</w:t>
      </w:r>
      <w:r>
        <w:rPr>
          <w:sz w:val="24"/>
          <w:szCs w:val="24"/>
          <w:lang w:val="en-GB"/>
        </w:rPr>
        <w:t>.1</w:t>
      </w:r>
      <w:r w:rsidRPr="007A4951">
        <w:rPr>
          <w:sz w:val="24"/>
          <w:szCs w:val="24"/>
          <w:lang w:val="en-GB"/>
        </w:rPr>
        <w:t xml:space="preserve"> a) and b) of Directive 2009/24/EC</w:t>
      </w:r>
      <w:r>
        <w:rPr>
          <w:sz w:val="24"/>
          <w:szCs w:val="24"/>
          <w:lang w:val="en-GB"/>
        </w:rPr>
        <w:t>.</w:t>
      </w:r>
      <w:r w:rsidRPr="007A4951">
        <w:rPr>
          <w:rStyle w:val="Rimandonotaapidipagina"/>
          <w:sz w:val="24"/>
          <w:szCs w:val="24"/>
          <w:lang w:val="en-GB"/>
        </w:rPr>
        <w:footnoteReference w:id="46"/>
      </w:r>
      <w:r>
        <w:rPr>
          <w:sz w:val="24"/>
          <w:szCs w:val="24"/>
          <w:lang w:val="en-GB"/>
        </w:rPr>
        <w:t xml:space="preserve"> However, copies of works and other subject matter may be kept only </w:t>
      </w:r>
      <w:r w:rsidRPr="00F62197">
        <w:rPr>
          <w:sz w:val="24"/>
          <w:szCs w:val="24"/>
          <w:lang w:val="en-GB"/>
        </w:rPr>
        <w:t xml:space="preserve">for </w:t>
      </w:r>
      <w:r>
        <w:rPr>
          <w:sz w:val="24"/>
          <w:szCs w:val="24"/>
          <w:lang w:val="en-GB"/>
        </w:rPr>
        <w:t xml:space="preserve">the time </w:t>
      </w:r>
      <w:r w:rsidRPr="00F62197">
        <w:rPr>
          <w:sz w:val="24"/>
          <w:szCs w:val="24"/>
          <w:lang w:val="en-GB"/>
        </w:rPr>
        <w:t>necessary for the</w:t>
      </w:r>
      <w:r>
        <w:rPr>
          <w:sz w:val="24"/>
          <w:szCs w:val="24"/>
          <w:lang w:val="en-GB"/>
        </w:rPr>
        <w:t xml:space="preserve"> </w:t>
      </w:r>
      <w:r w:rsidRPr="00F62197">
        <w:rPr>
          <w:sz w:val="24"/>
          <w:szCs w:val="24"/>
          <w:lang w:val="en-GB"/>
        </w:rPr>
        <w:t xml:space="preserve">purposes of </w:t>
      </w:r>
      <w:r>
        <w:rPr>
          <w:sz w:val="24"/>
          <w:szCs w:val="24"/>
          <w:lang w:val="en-GB"/>
        </w:rPr>
        <w:t>TDM, and application of</w:t>
      </w:r>
      <w:r w:rsidRPr="007A4951">
        <w:rPr>
          <w:sz w:val="24"/>
          <w:szCs w:val="24"/>
          <w:lang w:val="en-GB"/>
        </w:rPr>
        <w:t xml:space="preserve"> the exception is subject to the condition that use</w:t>
      </w:r>
      <w:r>
        <w:rPr>
          <w:sz w:val="24"/>
          <w:szCs w:val="24"/>
          <w:lang w:val="en-GB"/>
        </w:rPr>
        <w:t xml:space="preserve"> for the purposes of TDM</w:t>
      </w:r>
      <w:r w:rsidRPr="007A4951">
        <w:rPr>
          <w:sz w:val="24"/>
          <w:szCs w:val="24"/>
          <w:lang w:val="en-GB"/>
        </w:rPr>
        <w:t xml:space="preserve"> has not been expressly reserved by right</w:t>
      </w:r>
      <w:r>
        <w:rPr>
          <w:sz w:val="24"/>
          <w:szCs w:val="24"/>
          <w:lang w:val="en-GB"/>
        </w:rPr>
        <w:t xml:space="preserve"> </w:t>
      </w:r>
      <w:r w:rsidRPr="007A4951">
        <w:rPr>
          <w:sz w:val="24"/>
          <w:szCs w:val="24"/>
          <w:lang w:val="en-GB"/>
        </w:rPr>
        <w:t>holders in an appropriate manner.</w:t>
      </w:r>
    </w:p>
    <w:p w14:paraId="6BF701CD" w14:textId="77777777" w:rsidR="00651F9B" w:rsidRPr="007A4951" w:rsidRDefault="00651F9B" w:rsidP="00651F9B">
      <w:pPr>
        <w:ind w:firstLine="397"/>
        <w:jc w:val="both"/>
        <w:rPr>
          <w:sz w:val="24"/>
          <w:szCs w:val="24"/>
          <w:lang w:val="en-GB"/>
        </w:rPr>
      </w:pPr>
      <w:r w:rsidRPr="007A4951">
        <w:rPr>
          <w:sz w:val="24"/>
          <w:szCs w:val="24"/>
          <w:lang w:val="en-GB"/>
        </w:rPr>
        <w:lastRenderedPageBreak/>
        <w:t xml:space="preserve">Thus, </w:t>
      </w:r>
      <w:r>
        <w:rPr>
          <w:sz w:val="24"/>
          <w:szCs w:val="24"/>
          <w:lang w:val="en-GB"/>
        </w:rPr>
        <w:t>A</w:t>
      </w:r>
      <w:r w:rsidRPr="007A4951">
        <w:rPr>
          <w:sz w:val="24"/>
          <w:szCs w:val="24"/>
          <w:lang w:val="en-GB"/>
        </w:rPr>
        <w:t>rt.</w:t>
      </w:r>
      <w:r>
        <w:rPr>
          <w:sz w:val="24"/>
          <w:szCs w:val="24"/>
          <w:lang w:val="en-GB"/>
        </w:rPr>
        <w:t xml:space="preserve"> </w:t>
      </w:r>
      <w:r w:rsidRPr="007A4951">
        <w:rPr>
          <w:sz w:val="24"/>
          <w:szCs w:val="24"/>
          <w:lang w:val="en-GB"/>
        </w:rPr>
        <w:t xml:space="preserve">4 allows unqualified beneficiaries to carry out </w:t>
      </w:r>
      <w:r>
        <w:rPr>
          <w:sz w:val="24"/>
          <w:szCs w:val="24"/>
          <w:lang w:val="en-GB"/>
        </w:rPr>
        <w:t xml:space="preserve">data-mining </w:t>
      </w:r>
      <w:r w:rsidRPr="007A4951">
        <w:rPr>
          <w:sz w:val="24"/>
          <w:szCs w:val="24"/>
          <w:lang w:val="en-GB"/>
        </w:rPr>
        <w:t>activities</w:t>
      </w:r>
      <w:r>
        <w:rPr>
          <w:sz w:val="24"/>
          <w:szCs w:val="24"/>
          <w:lang w:val="en-GB"/>
        </w:rPr>
        <w:t>,</w:t>
      </w:r>
      <w:r w:rsidRPr="007A4951">
        <w:rPr>
          <w:sz w:val="24"/>
          <w:szCs w:val="24"/>
          <w:lang w:val="en-GB"/>
        </w:rPr>
        <w:t xml:space="preserve"> provided the content is lawfully accessible and</w:t>
      </w:r>
      <w:r>
        <w:rPr>
          <w:sz w:val="24"/>
          <w:szCs w:val="24"/>
          <w:lang w:val="en-GB"/>
        </w:rPr>
        <w:t xml:space="preserve"> the right holder has not expressed a reservation.</w:t>
      </w:r>
    </w:p>
    <w:p w14:paraId="7E0D0DCE" w14:textId="450A1A8B" w:rsidR="00651F9B" w:rsidRDefault="00651F9B" w:rsidP="00651F9B">
      <w:pPr>
        <w:ind w:firstLine="397"/>
        <w:jc w:val="both"/>
        <w:rPr>
          <w:sz w:val="24"/>
          <w:szCs w:val="24"/>
          <w:lang w:val="en-GB"/>
        </w:rPr>
      </w:pPr>
      <w:r>
        <w:rPr>
          <w:sz w:val="24"/>
          <w:szCs w:val="24"/>
          <w:lang w:val="en-GB"/>
        </w:rPr>
        <w:t xml:space="preserve">An interpretation of the </w:t>
      </w:r>
      <w:r w:rsidRPr="007A4951">
        <w:rPr>
          <w:sz w:val="24"/>
          <w:szCs w:val="24"/>
          <w:lang w:val="en-GB"/>
        </w:rPr>
        <w:t xml:space="preserve">concept of </w:t>
      </w:r>
      <w:r>
        <w:rPr>
          <w:sz w:val="24"/>
          <w:szCs w:val="24"/>
          <w:lang w:val="en-GB"/>
        </w:rPr>
        <w:t>“</w:t>
      </w:r>
      <w:r w:rsidRPr="007A4951">
        <w:rPr>
          <w:sz w:val="24"/>
          <w:szCs w:val="24"/>
          <w:lang w:val="en-GB"/>
        </w:rPr>
        <w:t>lawful access</w:t>
      </w:r>
      <w:r>
        <w:rPr>
          <w:sz w:val="24"/>
          <w:szCs w:val="24"/>
          <w:lang w:val="en-GB"/>
        </w:rPr>
        <w:t>”</w:t>
      </w:r>
      <w:r w:rsidRPr="007A4951">
        <w:rPr>
          <w:sz w:val="24"/>
          <w:szCs w:val="24"/>
          <w:lang w:val="en-GB"/>
        </w:rPr>
        <w:t xml:space="preserve"> </w:t>
      </w:r>
      <w:r>
        <w:rPr>
          <w:sz w:val="24"/>
          <w:szCs w:val="24"/>
          <w:lang w:val="en-GB"/>
        </w:rPr>
        <w:t xml:space="preserve">is given by Recital 14 of the DSM Directive and applies to </w:t>
      </w:r>
      <w:r w:rsidRPr="007A4951">
        <w:rPr>
          <w:sz w:val="24"/>
          <w:szCs w:val="24"/>
          <w:lang w:val="en-GB"/>
        </w:rPr>
        <w:t>content freely available online</w:t>
      </w:r>
      <w:r>
        <w:rPr>
          <w:sz w:val="24"/>
          <w:szCs w:val="24"/>
          <w:lang w:val="en-GB"/>
        </w:rPr>
        <w:t>,</w:t>
      </w:r>
      <w:r w:rsidRPr="007A4951">
        <w:rPr>
          <w:sz w:val="24"/>
          <w:szCs w:val="24"/>
          <w:lang w:val="en-GB"/>
        </w:rPr>
        <w:t xml:space="preserve"> as well as material made available </w:t>
      </w:r>
      <w:r>
        <w:rPr>
          <w:sz w:val="24"/>
          <w:szCs w:val="24"/>
          <w:lang w:val="en-GB"/>
        </w:rPr>
        <w:t>to the user by</w:t>
      </w:r>
      <w:r w:rsidRPr="007A4951">
        <w:rPr>
          <w:sz w:val="24"/>
          <w:szCs w:val="24"/>
          <w:lang w:val="en-GB"/>
        </w:rPr>
        <w:t xml:space="preserve"> contractual arrangements (e.g.</w:t>
      </w:r>
      <w:r w:rsidR="000F2E8A">
        <w:rPr>
          <w:sz w:val="24"/>
          <w:szCs w:val="24"/>
          <w:lang w:val="en-GB"/>
        </w:rPr>
        <w:t>,</w:t>
      </w:r>
      <w:r w:rsidRPr="007A4951">
        <w:rPr>
          <w:sz w:val="24"/>
          <w:szCs w:val="24"/>
          <w:lang w:val="en-GB"/>
        </w:rPr>
        <w:t xml:space="preserve"> subscriptions</w:t>
      </w:r>
      <w:r>
        <w:rPr>
          <w:sz w:val="24"/>
          <w:szCs w:val="24"/>
          <w:lang w:val="en-GB"/>
        </w:rPr>
        <w:t xml:space="preserve"> paid by an individual or institution,</w:t>
      </w:r>
      <w:r w:rsidRPr="007A4951">
        <w:rPr>
          <w:sz w:val="24"/>
          <w:szCs w:val="24"/>
          <w:lang w:val="en-GB"/>
        </w:rPr>
        <w:t xml:space="preserve"> or open</w:t>
      </w:r>
      <w:r>
        <w:rPr>
          <w:sz w:val="24"/>
          <w:szCs w:val="24"/>
          <w:lang w:val="en-GB"/>
        </w:rPr>
        <w:t>-</w:t>
      </w:r>
      <w:r w:rsidRPr="007A4951">
        <w:rPr>
          <w:sz w:val="24"/>
          <w:szCs w:val="24"/>
          <w:lang w:val="en-GB"/>
        </w:rPr>
        <w:t>access licenses)</w:t>
      </w:r>
      <w:r>
        <w:rPr>
          <w:sz w:val="24"/>
          <w:szCs w:val="24"/>
          <w:lang w:val="en-GB"/>
        </w:rPr>
        <w:t>.</w:t>
      </w:r>
      <w:r w:rsidRPr="007A4951">
        <w:rPr>
          <w:rStyle w:val="Rimandonotaapidipagina"/>
          <w:sz w:val="24"/>
          <w:szCs w:val="24"/>
          <w:lang w:val="en-GB"/>
        </w:rPr>
        <w:footnoteReference w:id="47"/>
      </w:r>
    </w:p>
    <w:p w14:paraId="55D78D3F" w14:textId="77FBEE1D" w:rsidR="00651F9B" w:rsidRPr="00F54123" w:rsidRDefault="00651F9B" w:rsidP="00651F9B">
      <w:pPr>
        <w:ind w:firstLine="397"/>
        <w:jc w:val="both"/>
        <w:rPr>
          <w:sz w:val="24"/>
          <w:szCs w:val="24"/>
          <w:lang w:val="en-GB"/>
        </w:rPr>
      </w:pPr>
      <w:r>
        <w:rPr>
          <w:sz w:val="24"/>
          <w:szCs w:val="24"/>
          <w:lang w:val="en-GB"/>
        </w:rPr>
        <w:t>There is, however, an opt-out mechanism where this exception is concerned:</w:t>
      </w:r>
      <w:r>
        <w:rPr>
          <w:rStyle w:val="Rimandonotaapidipagina"/>
          <w:sz w:val="24"/>
          <w:szCs w:val="24"/>
          <w:lang w:val="en-GB"/>
        </w:rPr>
        <w:footnoteReference w:id="48"/>
      </w:r>
      <w:r>
        <w:rPr>
          <w:sz w:val="24"/>
          <w:szCs w:val="24"/>
          <w:lang w:val="en-GB"/>
        </w:rPr>
        <w:t xml:space="preserve"> </w:t>
      </w:r>
      <w:r w:rsidRPr="007A4951">
        <w:rPr>
          <w:sz w:val="24"/>
          <w:szCs w:val="24"/>
          <w:lang w:val="en-GB"/>
        </w:rPr>
        <w:t xml:space="preserve">data mining is </w:t>
      </w:r>
      <w:r>
        <w:rPr>
          <w:sz w:val="24"/>
          <w:szCs w:val="24"/>
          <w:lang w:val="en-GB"/>
        </w:rPr>
        <w:t>permitted</w:t>
      </w:r>
      <w:r w:rsidRPr="007A4951">
        <w:rPr>
          <w:sz w:val="24"/>
          <w:szCs w:val="24"/>
          <w:lang w:val="en-GB"/>
        </w:rPr>
        <w:t xml:space="preserve"> by default, unless this form of use of the works </w:t>
      </w:r>
      <w:r>
        <w:rPr>
          <w:sz w:val="24"/>
          <w:szCs w:val="24"/>
          <w:lang w:val="en-GB"/>
        </w:rPr>
        <w:t xml:space="preserve">in question </w:t>
      </w:r>
      <w:r w:rsidRPr="007A4951">
        <w:rPr>
          <w:sz w:val="24"/>
          <w:szCs w:val="24"/>
          <w:lang w:val="en-GB"/>
        </w:rPr>
        <w:t>has been expressly reserved</w:t>
      </w:r>
      <w:r>
        <w:rPr>
          <w:sz w:val="24"/>
          <w:szCs w:val="24"/>
          <w:lang w:val="en-GB"/>
        </w:rPr>
        <w:t xml:space="preserve"> in an “appropriate manner”</w:t>
      </w:r>
      <w:r w:rsidRPr="007A4951">
        <w:rPr>
          <w:sz w:val="24"/>
          <w:szCs w:val="24"/>
          <w:lang w:val="en-GB"/>
        </w:rPr>
        <w:t xml:space="preserve">. This is confirmed by the fact that </w:t>
      </w:r>
      <w:r>
        <w:rPr>
          <w:sz w:val="24"/>
          <w:szCs w:val="24"/>
          <w:lang w:val="en-GB"/>
        </w:rPr>
        <w:t>A</w:t>
      </w:r>
      <w:r w:rsidRPr="007A4951">
        <w:rPr>
          <w:sz w:val="24"/>
          <w:szCs w:val="24"/>
          <w:lang w:val="en-GB"/>
        </w:rPr>
        <w:t>rt. 7</w:t>
      </w:r>
      <w:r>
        <w:rPr>
          <w:sz w:val="24"/>
          <w:szCs w:val="24"/>
          <w:lang w:val="en-GB"/>
        </w:rPr>
        <w:t>.1</w:t>
      </w:r>
      <w:r w:rsidRPr="007A4951">
        <w:rPr>
          <w:sz w:val="24"/>
          <w:szCs w:val="24"/>
          <w:lang w:val="en-GB"/>
        </w:rPr>
        <w:t xml:space="preserve"> does not mention </w:t>
      </w:r>
      <w:r>
        <w:rPr>
          <w:sz w:val="24"/>
          <w:szCs w:val="24"/>
          <w:lang w:val="en-GB"/>
        </w:rPr>
        <w:t>A</w:t>
      </w:r>
      <w:r w:rsidRPr="007A4951">
        <w:rPr>
          <w:sz w:val="24"/>
          <w:szCs w:val="24"/>
          <w:lang w:val="en-GB"/>
        </w:rPr>
        <w:t xml:space="preserve">rt. 4 among the provisions that cannot be overridden by contract. </w:t>
      </w:r>
      <w:r>
        <w:rPr>
          <w:sz w:val="24"/>
          <w:szCs w:val="24"/>
          <w:lang w:val="en-GB"/>
        </w:rPr>
        <w:t>A similar mechanism is also stipulated in A</w:t>
      </w:r>
      <w:r w:rsidRPr="00751522">
        <w:rPr>
          <w:sz w:val="24"/>
          <w:szCs w:val="24"/>
          <w:lang w:val="en-GB"/>
        </w:rPr>
        <w:t>rticles 8 and 12</w:t>
      </w:r>
      <w:r>
        <w:rPr>
          <w:sz w:val="24"/>
          <w:szCs w:val="24"/>
          <w:lang w:val="en-GB"/>
        </w:rPr>
        <w:t xml:space="preserve">, which </w:t>
      </w:r>
      <w:r w:rsidRPr="00751522">
        <w:rPr>
          <w:sz w:val="24"/>
          <w:szCs w:val="24"/>
          <w:lang w:val="en-GB"/>
        </w:rPr>
        <w:t xml:space="preserve">provide </w:t>
      </w:r>
      <w:r>
        <w:rPr>
          <w:sz w:val="24"/>
          <w:szCs w:val="24"/>
          <w:lang w:val="en-GB"/>
        </w:rPr>
        <w:t>for</w:t>
      </w:r>
      <w:r w:rsidRPr="00751522">
        <w:rPr>
          <w:sz w:val="24"/>
          <w:szCs w:val="24"/>
          <w:lang w:val="en-GB"/>
        </w:rPr>
        <w:t xml:space="preserve"> extended collective licences </w:t>
      </w:r>
      <w:r>
        <w:rPr>
          <w:sz w:val="24"/>
          <w:szCs w:val="24"/>
          <w:lang w:val="en-GB"/>
        </w:rPr>
        <w:t xml:space="preserve">on </w:t>
      </w:r>
      <w:r w:rsidRPr="00751522">
        <w:rPr>
          <w:sz w:val="24"/>
          <w:szCs w:val="24"/>
          <w:lang w:val="en-GB"/>
        </w:rPr>
        <w:t>copyright</w:t>
      </w:r>
      <w:r>
        <w:rPr>
          <w:sz w:val="24"/>
          <w:szCs w:val="24"/>
          <w:lang w:val="en-GB"/>
        </w:rPr>
        <w:t xml:space="preserve"> (ECLs)</w:t>
      </w:r>
      <w:r w:rsidRPr="00751522">
        <w:rPr>
          <w:sz w:val="24"/>
          <w:szCs w:val="24"/>
          <w:lang w:val="en-GB"/>
        </w:rPr>
        <w:t>. Article 8</w:t>
      </w:r>
      <w:r>
        <w:rPr>
          <w:sz w:val="24"/>
          <w:szCs w:val="24"/>
          <w:lang w:val="en-GB"/>
        </w:rPr>
        <w:t xml:space="preserve"> obliges Member States to introduce a legal solution to allow</w:t>
      </w:r>
      <w:r w:rsidRPr="009E4BDE">
        <w:rPr>
          <w:sz w:val="24"/>
          <w:szCs w:val="24"/>
          <w:lang w:val="en-GB"/>
        </w:rPr>
        <w:t xml:space="preserve"> representative </w:t>
      </w:r>
      <w:r>
        <w:rPr>
          <w:sz w:val="24"/>
          <w:szCs w:val="24"/>
          <w:lang w:val="en-GB"/>
        </w:rPr>
        <w:t>C</w:t>
      </w:r>
      <w:r w:rsidRPr="009E4BDE">
        <w:rPr>
          <w:sz w:val="24"/>
          <w:szCs w:val="24"/>
          <w:lang w:val="en-GB"/>
        </w:rPr>
        <w:t>ollective</w:t>
      </w:r>
      <w:r>
        <w:rPr>
          <w:sz w:val="24"/>
          <w:szCs w:val="24"/>
          <w:lang w:val="en-GB"/>
        </w:rPr>
        <w:t xml:space="preserve"> M</w:t>
      </w:r>
      <w:r w:rsidRPr="009E4BDE">
        <w:rPr>
          <w:sz w:val="24"/>
          <w:szCs w:val="24"/>
          <w:lang w:val="en-GB"/>
        </w:rPr>
        <w:t xml:space="preserve">anagement </w:t>
      </w:r>
      <w:r>
        <w:rPr>
          <w:sz w:val="24"/>
          <w:szCs w:val="24"/>
          <w:lang w:val="en-GB"/>
        </w:rPr>
        <w:t>O</w:t>
      </w:r>
      <w:r w:rsidRPr="009E4BDE">
        <w:rPr>
          <w:sz w:val="24"/>
          <w:szCs w:val="24"/>
          <w:lang w:val="en-GB"/>
        </w:rPr>
        <w:t>rganisations</w:t>
      </w:r>
      <w:r>
        <w:rPr>
          <w:sz w:val="24"/>
          <w:szCs w:val="24"/>
          <w:lang w:val="en-GB"/>
        </w:rPr>
        <w:t xml:space="preserve"> (CMOs)</w:t>
      </w:r>
      <w:r w:rsidRPr="009E4BDE">
        <w:rPr>
          <w:sz w:val="24"/>
          <w:szCs w:val="24"/>
          <w:lang w:val="en-GB"/>
        </w:rPr>
        <w:t xml:space="preserve"> to issue licenses for the use of </w:t>
      </w:r>
      <w:r>
        <w:rPr>
          <w:sz w:val="24"/>
          <w:szCs w:val="24"/>
          <w:lang w:val="en-GB"/>
        </w:rPr>
        <w:t xml:space="preserve">out-of-commerce works </w:t>
      </w:r>
      <w:r w:rsidRPr="009E4BDE">
        <w:rPr>
          <w:sz w:val="24"/>
          <w:szCs w:val="24"/>
          <w:lang w:val="en-GB"/>
        </w:rPr>
        <w:t>by cultural</w:t>
      </w:r>
      <w:r>
        <w:rPr>
          <w:sz w:val="24"/>
          <w:szCs w:val="24"/>
          <w:lang w:val="en-GB"/>
        </w:rPr>
        <w:t xml:space="preserve"> </w:t>
      </w:r>
      <w:r w:rsidRPr="009E4BDE">
        <w:rPr>
          <w:sz w:val="24"/>
          <w:szCs w:val="24"/>
          <w:lang w:val="en-GB"/>
        </w:rPr>
        <w:t>heritage institutions "irrespective of whether all rights holders covered by such licences have mandated the collective management organisation"</w:t>
      </w:r>
      <w:r>
        <w:rPr>
          <w:sz w:val="24"/>
          <w:szCs w:val="24"/>
          <w:lang w:val="en-GB"/>
        </w:rPr>
        <w:t>;</w:t>
      </w:r>
      <w:r w:rsidRPr="00751522">
        <w:rPr>
          <w:sz w:val="24"/>
          <w:szCs w:val="24"/>
          <w:lang w:val="en-GB"/>
        </w:rPr>
        <w:t xml:space="preserve"> </w:t>
      </w:r>
      <w:r>
        <w:rPr>
          <w:sz w:val="24"/>
          <w:szCs w:val="24"/>
          <w:lang w:val="en-GB"/>
        </w:rPr>
        <w:t>A</w:t>
      </w:r>
      <w:r w:rsidRPr="00751522">
        <w:rPr>
          <w:sz w:val="24"/>
          <w:szCs w:val="24"/>
          <w:lang w:val="en-GB"/>
        </w:rPr>
        <w:t>rticle 12</w:t>
      </w:r>
      <w:r>
        <w:rPr>
          <w:sz w:val="24"/>
          <w:szCs w:val="24"/>
          <w:lang w:val="en-GB"/>
        </w:rPr>
        <w:t xml:space="preserve"> comprises </w:t>
      </w:r>
      <w:r w:rsidRPr="00751522">
        <w:rPr>
          <w:sz w:val="24"/>
          <w:szCs w:val="24"/>
          <w:lang w:val="en-GB"/>
        </w:rPr>
        <w:t xml:space="preserve">an optional rule that </w:t>
      </w:r>
      <w:r w:rsidRPr="00F96F3C">
        <w:rPr>
          <w:sz w:val="24"/>
          <w:szCs w:val="24"/>
          <w:lang w:val="en-GB"/>
        </w:rPr>
        <w:t>go</w:t>
      </w:r>
      <w:r>
        <w:rPr>
          <w:sz w:val="24"/>
          <w:szCs w:val="24"/>
          <w:lang w:val="en-GB"/>
        </w:rPr>
        <w:t>es</w:t>
      </w:r>
      <w:r w:rsidRPr="00F96F3C">
        <w:rPr>
          <w:sz w:val="24"/>
          <w:szCs w:val="24"/>
          <w:lang w:val="en-GB"/>
        </w:rPr>
        <w:t xml:space="preserve"> beyond the case of </w:t>
      </w:r>
      <w:r>
        <w:rPr>
          <w:sz w:val="24"/>
          <w:szCs w:val="24"/>
          <w:lang w:val="en-GB"/>
        </w:rPr>
        <w:t>o</w:t>
      </w:r>
      <w:r w:rsidRPr="00F96F3C">
        <w:rPr>
          <w:sz w:val="24"/>
          <w:szCs w:val="24"/>
          <w:lang w:val="en-GB"/>
        </w:rPr>
        <w:t>ut</w:t>
      </w:r>
      <w:r>
        <w:rPr>
          <w:sz w:val="24"/>
          <w:szCs w:val="24"/>
          <w:lang w:val="en-GB"/>
        </w:rPr>
        <w:t>-</w:t>
      </w:r>
      <w:r w:rsidRPr="00F96F3C">
        <w:rPr>
          <w:sz w:val="24"/>
          <w:szCs w:val="24"/>
          <w:lang w:val="en-GB"/>
        </w:rPr>
        <w:t>of</w:t>
      </w:r>
      <w:r>
        <w:rPr>
          <w:sz w:val="24"/>
          <w:szCs w:val="24"/>
          <w:lang w:val="en-GB"/>
        </w:rPr>
        <w:t>-c</w:t>
      </w:r>
      <w:r w:rsidRPr="00F96F3C">
        <w:rPr>
          <w:sz w:val="24"/>
          <w:szCs w:val="24"/>
          <w:lang w:val="en-GB"/>
        </w:rPr>
        <w:t xml:space="preserve">ommerce works </w:t>
      </w:r>
      <w:r>
        <w:rPr>
          <w:sz w:val="24"/>
          <w:szCs w:val="24"/>
          <w:lang w:val="en-GB"/>
        </w:rPr>
        <w:t xml:space="preserve">and introduces a </w:t>
      </w:r>
      <w:r w:rsidRPr="00F96F3C">
        <w:rPr>
          <w:sz w:val="24"/>
          <w:szCs w:val="24"/>
          <w:lang w:val="en-GB"/>
        </w:rPr>
        <w:t>legal basis for extended collective licensing in "well-defined areas of use, where obtaining authorisations</w:t>
      </w:r>
      <w:r>
        <w:rPr>
          <w:sz w:val="24"/>
          <w:szCs w:val="24"/>
          <w:lang w:val="en-GB"/>
        </w:rPr>
        <w:t xml:space="preserve"> </w:t>
      </w:r>
      <w:r w:rsidRPr="00F96F3C">
        <w:rPr>
          <w:sz w:val="24"/>
          <w:szCs w:val="24"/>
          <w:lang w:val="en-GB"/>
        </w:rPr>
        <w:t>from rights holders on an individual basis is typically onerous and impractical"</w:t>
      </w:r>
      <w:r>
        <w:rPr>
          <w:sz w:val="24"/>
          <w:szCs w:val="24"/>
          <w:lang w:val="en-GB"/>
        </w:rPr>
        <w:t>.</w:t>
      </w:r>
      <w:r>
        <w:rPr>
          <w:rStyle w:val="Rimandonotaapidipagina"/>
          <w:sz w:val="24"/>
          <w:szCs w:val="24"/>
          <w:lang w:val="en-GB"/>
        </w:rPr>
        <w:footnoteReference w:id="49"/>
      </w:r>
      <w:r>
        <w:rPr>
          <w:sz w:val="24"/>
          <w:szCs w:val="24"/>
          <w:lang w:val="en-GB"/>
        </w:rPr>
        <w:t xml:space="preserve"> Both Art. 8.4 and Art. 12.3 c) further require Member States to allow </w:t>
      </w:r>
      <w:r w:rsidRPr="00F54123">
        <w:rPr>
          <w:sz w:val="24"/>
          <w:szCs w:val="24"/>
          <w:lang w:val="en-GB"/>
        </w:rPr>
        <w:t>right</w:t>
      </w:r>
      <w:r>
        <w:rPr>
          <w:sz w:val="24"/>
          <w:szCs w:val="24"/>
          <w:lang w:val="en-GB"/>
        </w:rPr>
        <w:t xml:space="preserve"> </w:t>
      </w:r>
      <w:r w:rsidRPr="00F54123">
        <w:rPr>
          <w:sz w:val="24"/>
          <w:szCs w:val="24"/>
          <w:lang w:val="en-GB"/>
        </w:rPr>
        <w:t xml:space="preserve">holders </w:t>
      </w:r>
      <w:r>
        <w:rPr>
          <w:sz w:val="24"/>
          <w:szCs w:val="24"/>
          <w:lang w:val="en-GB"/>
        </w:rPr>
        <w:t>to “easily and effectively”</w:t>
      </w:r>
      <w:r w:rsidRPr="00F54123">
        <w:rPr>
          <w:sz w:val="24"/>
          <w:szCs w:val="24"/>
          <w:lang w:val="en-GB"/>
        </w:rPr>
        <w:t xml:space="preserve"> </w:t>
      </w:r>
      <w:r>
        <w:rPr>
          <w:sz w:val="24"/>
          <w:szCs w:val="24"/>
          <w:lang w:val="en-GB"/>
        </w:rPr>
        <w:t>exclude their works and other subject matter from the license mechanism.</w:t>
      </w:r>
      <w:r>
        <w:rPr>
          <w:rStyle w:val="Rimandonotaapidipagina"/>
          <w:sz w:val="24"/>
          <w:szCs w:val="24"/>
          <w:lang w:val="en-GB"/>
        </w:rPr>
        <w:footnoteReference w:id="50"/>
      </w:r>
      <w:r>
        <w:rPr>
          <w:sz w:val="24"/>
          <w:szCs w:val="24"/>
          <w:lang w:val="en-GB"/>
        </w:rPr>
        <w:t xml:space="preserve">  Because of the similarity of structures, it has actually been suggested that Art. 4 should be seen as a form of extended collective licensing, also considering the emphasis of the DSM Directive on encouraging licensing.</w:t>
      </w:r>
      <w:r>
        <w:rPr>
          <w:rStyle w:val="Rimandonotaapidipagina"/>
          <w:sz w:val="24"/>
          <w:szCs w:val="24"/>
          <w:lang w:val="en-GB"/>
        </w:rPr>
        <w:footnoteReference w:id="51"/>
      </w:r>
    </w:p>
    <w:p w14:paraId="49529C01" w14:textId="77777777" w:rsidR="00651F9B" w:rsidRDefault="00651F9B" w:rsidP="00651F9B">
      <w:pPr>
        <w:ind w:firstLine="397"/>
        <w:jc w:val="both"/>
        <w:rPr>
          <w:sz w:val="24"/>
          <w:szCs w:val="24"/>
          <w:lang w:val="en-GB"/>
        </w:rPr>
      </w:pPr>
      <w:r>
        <w:rPr>
          <w:sz w:val="24"/>
          <w:szCs w:val="24"/>
          <w:lang w:val="en-GB"/>
        </w:rPr>
        <w:t xml:space="preserve">The opt-out system is therefore a key element of Art. 4, and a crucial aspect of it is the determination of what may be considered </w:t>
      </w:r>
      <w:r w:rsidRPr="007A4951">
        <w:rPr>
          <w:sz w:val="24"/>
          <w:szCs w:val="24"/>
          <w:lang w:val="en-GB"/>
        </w:rPr>
        <w:t xml:space="preserve">an “appropriate manner” </w:t>
      </w:r>
      <w:r>
        <w:rPr>
          <w:sz w:val="24"/>
          <w:szCs w:val="24"/>
          <w:lang w:val="en-GB"/>
        </w:rPr>
        <w:t xml:space="preserve">of retaining the possibility of performing TDM activities on the content concerned.  </w:t>
      </w:r>
    </w:p>
    <w:p w14:paraId="01379E58" w14:textId="77777777" w:rsidR="00651F9B" w:rsidRDefault="00651F9B" w:rsidP="00651F9B">
      <w:pPr>
        <w:ind w:firstLine="397"/>
        <w:jc w:val="both"/>
        <w:rPr>
          <w:sz w:val="24"/>
          <w:szCs w:val="24"/>
          <w:lang w:val="en-GB"/>
        </w:rPr>
      </w:pPr>
      <w:r w:rsidRPr="007A4951">
        <w:rPr>
          <w:sz w:val="24"/>
          <w:szCs w:val="24"/>
          <w:lang w:val="en-GB"/>
        </w:rPr>
        <w:lastRenderedPageBreak/>
        <w:t xml:space="preserve">It will be up to Member States, </w:t>
      </w:r>
      <w:r>
        <w:rPr>
          <w:sz w:val="24"/>
          <w:szCs w:val="24"/>
          <w:lang w:val="en-GB"/>
        </w:rPr>
        <w:t xml:space="preserve">when transposing </w:t>
      </w:r>
      <w:r w:rsidRPr="007A4951">
        <w:rPr>
          <w:sz w:val="24"/>
          <w:szCs w:val="24"/>
          <w:lang w:val="en-GB"/>
        </w:rPr>
        <w:t xml:space="preserve">the Directive, to further clarify this aspect and, ultimately, if the national transposition does not </w:t>
      </w:r>
      <w:r>
        <w:rPr>
          <w:sz w:val="24"/>
          <w:szCs w:val="24"/>
          <w:lang w:val="en-GB"/>
        </w:rPr>
        <w:t>resolve</w:t>
      </w:r>
      <w:r w:rsidRPr="007A4951">
        <w:rPr>
          <w:sz w:val="24"/>
          <w:szCs w:val="24"/>
          <w:lang w:val="en-GB"/>
        </w:rPr>
        <w:t xml:space="preserve"> these uncertainties, the interpretation of the rule will be referred to </w:t>
      </w:r>
      <w:r>
        <w:rPr>
          <w:sz w:val="24"/>
          <w:szCs w:val="24"/>
          <w:lang w:val="en-GB"/>
        </w:rPr>
        <w:t>the courts</w:t>
      </w:r>
      <w:r w:rsidRPr="007A4951">
        <w:rPr>
          <w:sz w:val="24"/>
          <w:szCs w:val="24"/>
          <w:lang w:val="en-GB"/>
        </w:rPr>
        <w:t>.</w:t>
      </w:r>
      <w:r>
        <w:rPr>
          <w:sz w:val="24"/>
          <w:szCs w:val="24"/>
          <w:lang w:val="en-GB"/>
        </w:rPr>
        <w:t xml:space="preserve"> </w:t>
      </w:r>
      <w:r w:rsidRPr="00CE5985">
        <w:rPr>
          <w:sz w:val="24"/>
          <w:szCs w:val="24"/>
          <w:lang w:val="en-GB"/>
        </w:rPr>
        <w:t xml:space="preserve">However, some indications are already given by </w:t>
      </w:r>
      <w:r>
        <w:rPr>
          <w:sz w:val="24"/>
          <w:szCs w:val="24"/>
          <w:lang w:val="en-GB"/>
        </w:rPr>
        <w:t>R</w:t>
      </w:r>
      <w:r w:rsidRPr="00CE5985">
        <w:rPr>
          <w:sz w:val="24"/>
          <w:szCs w:val="24"/>
          <w:lang w:val="en-GB"/>
        </w:rPr>
        <w:t xml:space="preserve">ecital 18 of </w:t>
      </w:r>
      <w:r>
        <w:rPr>
          <w:sz w:val="24"/>
          <w:szCs w:val="24"/>
          <w:lang w:val="en-GB"/>
        </w:rPr>
        <w:t xml:space="preserve">the </w:t>
      </w:r>
      <w:r w:rsidRPr="00CE5985">
        <w:rPr>
          <w:sz w:val="24"/>
          <w:szCs w:val="24"/>
          <w:lang w:val="en-GB"/>
        </w:rPr>
        <w:t>DSM Directive. The text of the recital is not perfectly clear</w:t>
      </w:r>
      <w:r>
        <w:rPr>
          <w:sz w:val="24"/>
          <w:szCs w:val="24"/>
          <w:lang w:val="en-GB"/>
        </w:rPr>
        <w:t>,</w:t>
      </w:r>
      <w:r w:rsidRPr="00CE5985">
        <w:rPr>
          <w:sz w:val="24"/>
          <w:szCs w:val="24"/>
          <w:lang w:val="en-GB"/>
        </w:rPr>
        <w:t xml:space="preserve"> but it may be interpreted </w:t>
      </w:r>
      <w:r>
        <w:rPr>
          <w:sz w:val="24"/>
          <w:szCs w:val="24"/>
          <w:lang w:val="en-GB"/>
        </w:rPr>
        <w:t xml:space="preserve">as saying </w:t>
      </w:r>
      <w:r w:rsidRPr="00CE5985">
        <w:rPr>
          <w:sz w:val="24"/>
          <w:szCs w:val="24"/>
          <w:lang w:val="en-GB"/>
        </w:rPr>
        <w:t>that</w:t>
      </w:r>
      <w:r>
        <w:rPr>
          <w:sz w:val="24"/>
          <w:szCs w:val="24"/>
          <w:lang w:val="en-GB"/>
        </w:rPr>
        <w:t>,</w:t>
      </w:r>
      <w:r w:rsidRPr="00CE5985">
        <w:rPr>
          <w:sz w:val="24"/>
          <w:szCs w:val="24"/>
          <w:lang w:val="en-GB"/>
        </w:rPr>
        <w:t xml:space="preserve"> in </w:t>
      </w:r>
      <w:r>
        <w:rPr>
          <w:sz w:val="24"/>
          <w:szCs w:val="24"/>
          <w:lang w:val="en-GB"/>
        </w:rPr>
        <w:t xml:space="preserve">the </w:t>
      </w:r>
      <w:r w:rsidRPr="00CE5985">
        <w:rPr>
          <w:sz w:val="24"/>
          <w:szCs w:val="24"/>
          <w:lang w:val="en-GB"/>
        </w:rPr>
        <w:t xml:space="preserve">case of content made publicly available online, only “machine-readable means”, </w:t>
      </w:r>
      <w:r>
        <w:rPr>
          <w:sz w:val="24"/>
          <w:szCs w:val="24"/>
          <w:lang w:val="en-GB"/>
        </w:rPr>
        <w:t xml:space="preserve">such as </w:t>
      </w:r>
      <w:r w:rsidRPr="00CE5985">
        <w:rPr>
          <w:sz w:val="24"/>
          <w:szCs w:val="24"/>
          <w:lang w:val="en-GB"/>
        </w:rPr>
        <w:t xml:space="preserve">“metadata and terms and conditions”, should be considered, provided they do not prevent uses </w:t>
      </w:r>
      <w:r>
        <w:rPr>
          <w:sz w:val="24"/>
          <w:szCs w:val="24"/>
          <w:lang w:val="en-GB"/>
        </w:rPr>
        <w:t xml:space="preserve">other than </w:t>
      </w:r>
      <w:r w:rsidRPr="00CE5985">
        <w:rPr>
          <w:sz w:val="24"/>
          <w:szCs w:val="24"/>
          <w:lang w:val="en-GB"/>
        </w:rPr>
        <w:t>the reservation of rights for the purpose of data mining. I</w:t>
      </w:r>
      <w:r>
        <w:rPr>
          <w:sz w:val="24"/>
          <w:szCs w:val="24"/>
          <w:lang w:val="en-GB"/>
        </w:rPr>
        <w:t xml:space="preserve">n the case of content not </w:t>
      </w:r>
      <w:r w:rsidRPr="00CE5985">
        <w:rPr>
          <w:sz w:val="24"/>
          <w:szCs w:val="24"/>
          <w:lang w:val="en-GB"/>
        </w:rPr>
        <w:t xml:space="preserve">publicly available online, “other means”, not machine-readable, </w:t>
      </w:r>
      <w:r>
        <w:rPr>
          <w:sz w:val="24"/>
          <w:szCs w:val="24"/>
          <w:lang w:val="en-GB"/>
        </w:rPr>
        <w:t>may</w:t>
      </w:r>
      <w:r w:rsidRPr="00CE5985">
        <w:rPr>
          <w:sz w:val="24"/>
          <w:szCs w:val="24"/>
          <w:lang w:val="en-GB"/>
        </w:rPr>
        <w:t xml:space="preserve"> be suitable and may </w:t>
      </w:r>
      <w:r>
        <w:rPr>
          <w:sz w:val="24"/>
          <w:szCs w:val="24"/>
          <w:lang w:val="en-GB"/>
        </w:rPr>
        <w:t>take</w:t>
      </w:r>
      <w:r w:rsidRPr="00CE5985">
        <w:rPr>
          <w:sz w:val="24"/>
          <w:szCs w:val="24"/>
          <w:lang w:val="en-GB"/>
        </w:rPr>
        <w:t xml:space="preserve"> the form of contractual agreements and unilateral declarations</w:t>
      </w:r>
      <w:r>
        <w:rPr>
          <w:sz w:val="24"/>
          <w:szCs w:val="24"/>
          <w:lang w:val="en-GB"/>
        </w:rPr>
        <w:t>.</w:t>
      </w:r>
      <w:r w:rsidRPr="00CE5985">
        <w:rPr>
          <w:rStyle w:val="Rimandonotaapidipagina"/>
          <w:sz w:val="24"/>
          <w:szCs w:val="24"/>
          <w:lang w:val="en-GB"/>
        </w:rPr>
        <w:footnoteReference w:id="52"/>
      </w:r>
      <w:r>
        <w:rPr>
          <w:sz w:val="24"/>
          <w:szCs w:val="24"/>
          <w:lang w:val="en-GB"/>
        </w:rPr>
        <w:t xml:space="preserve"> </w:t>
      </w:r>
    </w:p>
    <w:p w14:paraId="4DC2507D" w14:textId="1ED48D4B" w:rsidR="00651F9B" w:rsidRDefault="00651F9B" w:rsidP="00651F9B">
      <w:pPr>
        <w:ind w:firstLine="397"/>
        <w:jc w:val="both"/>
        <w:rPr>
          <w:sz w:val="24"/>
          <w:szCs w:val="24"/>
          <w:lang w:val="en-GB"/>
        </w:rPr>
      </w:pPr>
      <w:r>
        <w:rPr>
          <w:sz w:val="24"/>
          <w:szCs w:val="24"/>
          <w:lang w:val="en-GB"/>
        </w:rPr>
        <w:t>Some further indications for understanding the concept of “appropriate manner” may be gained by l</w:t>
      </w:r>
      <w:r w:rsidRPr="007A4951">
        <w:rPr>
          <w:sz w:val="24"/>
          <w:szCs w:val="24"/>
          <w:lang w:val="en-GB"/>
        </w:rPr>
        <w:t>ooking at previous exceptions</w:t>
      </w:r>
      <w:r>
        <w:rPr>
          <w:sz w:val="24"/>
          <w:szCs w:val="24"/>
          <w:lang w:val="en-GB"/>
        </w:rPr>
        <w:t>, already implemented,</w:t>
      </w:r>
      <w:r w:rsidRPr="007A4951">
        <w:rPr>
          <w:sz w:val="24"/>
          <w:szCs w:val="24"/>
          <w:lang w:val="en-GB"/>
        </w:rPr>
        <w:t xml:space="preserve"> including the possibility for right</w:t>
      </w:r>
      <w:r>
        <w:rPr>
          <w:sz w:val="24"/>
          <w:szCs w:val="24"/>
          <w:lang w:val="en-GB"/>
        </w:rPr>
        <w:t xml:space="preserve"> </w:t>
      </w:r>
      <w:r w:rsidRPr="007A4951">
        <w:rPr>
          <w:sz w:val="24"/>
          <w:szCs w:val="24"/>
          <w:lang w:val="en-GB"/>
        </w:rPr>
        <w:t>holder</w:t>
      </w:r>
      <w:r>
        <w:rPr>
          <w:sz w:val="24"/>
          <w:szCs w:val="24"/>
          <w:lang w:val="en-GB"/>
        </w:rPr>
        <w:t xml:space="preserve">s of reserving use of their works. For example, the exception contained in Art. 5.3 c) of Directive 2001/29, pertaining to the </w:t>
      </w:r>
      <w:r w:rsidRPr="0095539E">
        <w:rPr>
          <w:sz w:val="24"/>
          <w:szCs w:val="24"/>
          <w:lang w:val="en-GB"/>
        </w:rPr>
        <w:t xml:space="preserve">reproduction by the press, communication to the public or making available of published articles on </w:t>
      </w:r>
      <w:r>
        <w:rPr>
          <w:sz w:val="24"/>
          <w:szCs w:val="24"/>
          <w:lang w:val="en-GB"/>
        </w:rPr>
        <w:t xml:space="preserve">certain topics, allows right holders to reserve such rights and has been implemented by the Italian legislator, </w:t>
      </w:r>
      <w:r w:rsidR="00942E59">
        <w:rPr>
          <w:sz w:val="24"/>
          <w:szCs w:val="24"/>
          <w:lang w:val="en-GB"/>
        </w:rPr>
        <w:t>requiring to place</w:t>
      </w:r>
      <w:r>
        <w:rPr>
          <w:sz w:val="24"/>
          <w:szCs w:val="24"/>
          <w:lang w:val="en-GB"/>
        </w:rPr>
        <w:t xml:space="preserve"> the words “reproduction reserved” or an analogous expression, even in an abbreviated form, at the beginning or end of an article.</w:t>
      </w:r>
      <w:r>
        <w:rPr>
          <w:rStyle w:val="Rimandonotaapidipagina"/>
          <w:sz w:val="24"/>
          <w:szCs w:val="24"/>
          <w:lang w:val="en-GB"/>
        </w:rPr>
        <w:footnoteReference w:id="53"/>
      </w:r>
      <w:r>
        <w:rPr>
          <w:sz w:val="24"/>
          <w:szCs w:val="24"/>
          <w:lang w:val="en-GB"/>
        </w:rPr>
        <w:t xml:space="preserve"> </w:t>
      </w:r>
      <w:r w:rsidRPr="00F8041D">
        <w:rPr>
          <w:sz w:val="24"/>
          <w:szCs w:val="24"/>
          <w:lang w:val="en-GB"/>
        </w:rPr>
        <w:t>From this precedent</w:t>
      </w:r>
      <w:r>
        <w:rPr>
          <w:sz w:val="24"/>
          <w:szCs w:val="24"/>
          <w:lang w:val="en-GB"/>
        </w:rPr>
        <w:t xml:space="preserve">, we may deduce that, on one hand, reservation should not be particularly burdensome for right holders, allowing them to retain use for TDM in a reasonably easy way. A similar conclusion may also be arrived at by considering the above-mentioned provision on ECLs, which requires that right </w:t>
      </w:r>
      <w:r w:rsidRPr="005A70A1">
        <w:rPr>
          <w:sz w:val="24"/>
          <w:szCs w:val="24"/>
          <w:lang w:val="en-GB"/>
        </w:rPr>
        <w:t xml:space="preserve">holders </w:t>
      </w:r>
      <w:r>
        <w:rPr>
          <w:sz w:val="24"/>
          <w:szCs w:val="24"/>
          <w:lang w:val="en-GB"/>
        </w:rPr>
        <w:t xml:space="preserve">be allowed to </w:t>
      </w:r>
      <w:proofErr w:type="gramStart"/>
      <w:r>
        <w:rPr>
          <w:sz w:val="24"/>
          <w:szCs w:val="24"/>
          <w:lang w:val="en-GB"/>
        </w:rPr>
        <w:t>“easily and effectively” exclude their works</w:t>
      </w:r>
      <w:proofErr w:type="gramEnd"/>
      <w:r>
        <w:rPr>
          <w:sz w:val="24"/>
          <w:szCs w:val="24"/>
          <w:lang w:val="en-GB"/>
        </w:rPr>
        <w:t xml:space="preserve"> from the license mechanism. On the other hand, the indication should be clear and codified in such a way as to be readily recognizable.</w:t>
      </w:r>
    </w:p>
    <w:p w14:paraId="32969FEE" w14:textId="3916B77E" w:rsidR="00651F9B" w:rsidRDefault="00651F9B" w:rsidP="00651F9B">
      <w:pPr>
        <w:ind w:firstLine="397"/>
        <w:jc w:val="both"/>
        <w:rPr>
          <w:sz w:val="24"/>
          <w:szCs w:val="24"/>
          <w:lang w:val="en-GB"/>
        </w:rPr>
      </w:pPr>
      <w:r>
        <w:rPr>
          <w:sz w:val="24"/>
          <w:szCs w:val="24"/>
          <w:lang w:val="en-GB"/>
        </w:rPr>
        <w:t xml:space="preserve">In the context of the provisions that we are discussing, and for the sake of their relevance to the digital environment, it is important to properly identify what constitutes an “appropriate manner” which is also </w:t>
      </w:r>
      <w:r w:rsidRPr="007A4951">
        <w:rPr>
          <w:sz w:val="24"/>
          <w:szCs w:val="24"/>
          <w:lang w:val="en-GB"/>
        </w:rPr>
        <w:t>“machine-readable”</w:t>
      </w:r>
      <w:r>
        <w:rPr>
          <w:sz w:val="24"/>
          <w:szCs w:val="24"/>
          <w:lang w:val="en-GB"/>
        </w:rPr>
        <w:t>. It has been suggested that c</w:t>
      </w:r>
      <w:r w:rsidRPr="007A4951">
        <w:rPr>
          <w:sz w:val="24"/>
          <w:szCs w:val="24"/>
          <w:lang w:val="en-GB"/>
        </w:rPr>
        <w:t xml:space="preserve">ontractual provisions confirmed and/or embedded in the technical instructions of </w:t>
      </w:r>
      <w:r>
        <w:rPr>
          <w:sz w:val="24"/>
          <w:szCs w:val="24"/>
          <w:lang w:val="en-GB"/>
        </w:rPr>
        <w:t>a</w:t>
      </w:r>
      <w:r w:rsidRPr="007A4951">
        <w:rPr>
          <w:sz w:val="24"/>
          <w:szCs w:val="24"/>
          <w:lang w:val="en-GB"/>
        </w:rPr>
        <w:t xml:space="preserve"> website</w:t>
      </w:r>
      <w:r>
        <w:rPr>
          <w:sz w:val="24"/>
          <w:szCs w:val="24"/>
          <w:lang w:val="en-GB"/>
        </w:rPr>
        <w:t xml:space="preserve"> should </w:t>
      </w:r>
      <w:r w:rsidRPr="007A4951">
        <w:rPr>
          <w:sz w:val="24"/>
          <w:szCs w:val="24"/>
          <w:lang w:val="en-GB"/>
        </w:rPr>
        <w:t>be</w:t>
      </w:r>
      <w:r>
        <w:rPr>
          <w:sz w:val="24"/>
          <w:szCs w:val="24"/>
          <w:lang w:val="en-GB"/>
        </w:rPr>
        <w:t xml:space="preserve"> considered</w:t>
      </w:r>
      <w:r w:rsidRPr="007A4951">
        <w:rPr>
          <w:sz w:val="24"/>
          <w:szCs w:val="24"/>
          <w:lang w:val="en-GB"/>
        </w:rPr>
        <w:t xml:space="preserve"> sufficient</w:t>
      </w:r>
      <w:r>
        <w:rPr>
          <w:sz w:val="24"/>
          <w:szCs w:val="24"/>
          <w:lang w:val="en-GB"/>
        </w:rPr>
        <w:t>,</w:t>
      </w:r>
      <w:r>
        <w:rPr>
          <w:rStyle w:val="Rimandonotaapidipagina"/>
          <w:sz w:val="24"/>
          <w:szCs w:val="24"/>
          <w:lang w:val="en-GB"/>
        </w:rPr>
        <w:footnoteReference w:id="54"/>
      </w:r>
      <w:r>
        <w:rPr>
          <w:sz w:val="24"/>
          <w:szCs w:val="24"/>
          <w:lang w:val="en-GB"/>
        </w:rPr>
        <w:t xml:space="preserve"> f</w:t>
      </w:r>
      <w:r w:rsidRPr="007A4951">
        <w:rPr>
          <w:sz w:val="24"/>
          <w:szCs w:val="24"/>
          <w:lang w:val="en-GB"/>
        </w:rPr>
        <w:t>or example by using a robots.txt file</w:t>
      </w:r>
      <w:r>
        <w:rPr>
          <w:sz w:val="24"/>
          <w:szCs w:val="24"/>
          <w:lang w:val="en-GB"/>
        </w:rPr>
        <w:t>:</w:t>
      </w:r>
      <w:r w:rsidRPr="007A4951">
        <w:rPr>
          <w:sz w:val="24"/>
          <w:szCs w:val="24"/>
          <w:lang w:val="en-GB"/>
        </w:rPr>
        <w:t xml:space="preserve"> an exclusion protocol in</w:t>
      </w:r>
      <w:r>
        <w:rPr>
          <w:sz w:val="24"/>
          <w:szCs w:val="24"/>
          <w:lang w:val="en-GB"/>
        </w:rPr>
        <w:t>corporated</w:t>
      </w:r>
      <w:r w:rsidRPr="007A4951">
        <w:rPr>
          <w:sz w:val="24"/>
          <w:szCs w:val="24"/>
          <w:lang w:val="en-GB"/>
        </w:rPr>
        <w:t xml:space="preserve"> in the root directory</w:t>
      </w:r>
      <w:r>
        <w:rPr>
          <w:sz w:val="24"/>
          <w:szCs w:val="24"/>
          <w:lang w:val="en-GB"/>
        </w:rPr>
        <w:t xml:space="preserve"> of a website</w:t>
      </w:r>
      <w:r w:rsidRPr="007A4951">
        <w:rPr>
          <w:sz w:val="24"/>
          <w:szCs w:val="24"/>
          <w:lang w:val="en-GB"/>
        </w:rPr>
        <w:t xml:space="preserve"> to </w:t>
      </w:r>
      <w:r>
        <w:rPr>
          <w:sz w:val="24"/>
          <w:szCs w:val="24"/>
          <w:lang w:val="en-GB"/>
        </w:rPr>
        <w:t xml:space="preserve">instruct robots on the permitted use of the </w:t>
      </w:r>
      <w:r w:rsidRPr="007D4F5C">
        <w:rPr>
          <w:sz w:val="24"/>
          <w:szCs w:val="24"/>
          <w:lang w:val="en-GB"/>
        </w:rPr>
        <w:t>site</w:t>
      </w:r>
      <w:r>
        <w:rPr>
          <w:sz w:val="24"/>
          <w:szCs w:val="24"/>
          <w:lang w:val="en-GB"/>
        </w:rPr>
        <w:t>.</w:t>
      </w:r>
      <w:r w:rsidRPr="007A4951">
        <w:rPr>
          <w:rStyle w:val="Rimandonotaapidipagina"/>
          <w:sz w:val="24"/>
          <w:szCs w:val="24"/>
          <w:lang w:val="en-GB"/>
        </w:rPr>
        <w:footnoteReference w:id="55"/>
      </w:r>
      <w:r>
        <w:rPr>
          <w:sz w:val="24"/>
          <w:szCs w:val="24"/>
          <w:lang w:val="en-GB"/>
        </w:rPr>
        <w:t xml:space="preserve"> Another way may be to </w:t>
      </w:r>
      <w:r w:rsidRPr="00C31D7D">
        <w:rPr>
          <w:sz w:val="24"/>
          <w:szCs w:val="24"/>
          <w:lang w:val="en-GB"/>
        </w:rPr>
        <w:t>us</w:t>
      </w:r>
      <w:r>
        <w:rPr>
          <w:sz w:val="24"/>
          <w:szCs w:val="24"/>
          <w:lang w:val="en-GB"/>
        </w:rPr>
        <w:t xml:space="preserve">e </w:t>
      </w:r>
      <w:r w:rsidRPr="00C31D7D">
        <w:rPr>
          <w:sz w:val="24"/>
          <w:szCs w:val="24"/>
          <w:lang w:val="en-GB"/>
        </w:rPr>
        <w:t>meta-tags</w:t>
      </w:r>
      <w:r>
        <w:rPr>
          <w:sz w:val="24"/>
          <w:szCs w:val="24"/>
          <w:lang w:val="en-GB"/>
        </w:rPr>
        <w:t xml:space="preserve"> giving</w:t>
      </w:r>
      <w:r w:rsidRPr="00C31D7D">
        <w:rPr>
          <w:sz w:val="24"/>
          <w:szCs w:val="24"/>
          <w:lang w:val="en-GB"/>
        </w:rPr>
        <w:t xml:space="preserve"> instructions</w:t>
      </w:r>
      <w:r>
        <w:rPr>
          <w:sz w:val="24"/>
          <w:szCs w:val="24"/>
          <w:lang w:val="en-GB"/>
        </w:rPr>
        <w:t xml:space="preserve"> </w:t>
      </w:r>
      <w:r w:rsidRPr="00C31D7D">
        <w:rPr>
          <w:sz w:val="24"/>
          <w:szCs w:val="24"/>
          <w:lang w:val="en-GB"/>
        </w:rPr>
        <w:t xml:space="preserve">on each individual </w:t>
      </w:r>
      <w:r>
        <w:rPr>
          <w:sz w:val="24"/>
          <w:szCs w:val="24"/>
          <w:lang w:val="en-GB"/>
        </w:rPr>
        <w:t xml:space="preserve">web </w:t>
      </w:r>
      <w:r w:rsidRPr="00C31D7D">
        <w:rPr>
          <w:sz w:val="24"/>
          <w:szCs w:val="24"/>
          <w:lang w:val="en-GB"/>
        </w:rPr>
        <w:t xml:space="preserve">page </w:t>
      </w:r>
      <w:r>
        <w:rPr>
          <w:sz w:val="24"/>
          <w:szCs w:val="24"/>
          <w:lang w:val="en-GB"/>
        </w:rPr>
        <w:t xml:space="preserve">and </w:t>
      </w:r>
      <w:r w:rsidRPr="00C31D7D">
        <w:rPr>
          <w:sz w:val="24"/>
          <w:szCs w:val="24"/>
          <w:lang w:val="en-GB"/>
        </w:rPr>
        <w:t>describing what uses</w:t>
      </w:r>
      <w:r>
        <w:rPr>
          <w:sz w:val="24"/>
          <w:szCs w:val="24"/>
          <w:lang w:val="en-GB"/>
        </w:rPr>
        <w:t xml:space="preserve"> are not allowed.</w:t>
      </w:r>
      <w:r>
        <w:rPr>
          <w:rStyle w:val="Rimandonotaapidipagina"/>
          <w:sz w:val="24"/>
          <w:szCs w:val="24"/>
          <w:lang w:val="en-GB"/>
        </w:rPr>
        <w:footnoteReference w:id="56"/>
      </w:r>
      <w:r>
        <w:rPr>
          <w:sz w:val="24"/>
          <w:szCs w:val="24"/>
          <w:lang w:val="en-GB"/>
        </w:rPr>
        <w:t xml:space="preserve"> Confirmation of the possibility of their use can be derived from the jurisprudence </w:t>
      </w:r>
      <w:r w:rsidR="00882A61">
        <w:rPr>
          <w:sz w:val="24"/>
          <w:szCs w:val="24"/>
          <w:lang w:val="en-GB"/>
        </w:rPr>
        <w:t>on</w:t>
      </w:r>
      <w:r>
        <w:rPr>
          <w:sz w:val="24"/>
          <w:szCs w:val="24"/>
          <w:lang w:val="en-GB"/>
        </w:rPr>
        <w:t xml:space="preserve"> implied licenses. In my opinion, the following decisions pertaining to implied licenses connected with online content and machine-readable measures come closest to the provision we are considering, because </w:t>
      </w:r>
      <w:r>
        <w:rPr>
          <w:sz w:val="24"/>
          <w:szCs w:val="24"/>
          <w:lang w:val="en-GB"/>
        </w:rPr>
        <w:lastRenderedPageBreak/>
        <w:t>implied licenses create an opt-out system whereby content may be used in the absence of a proper reservation on the part of the right holder.</w:t>
      </w:r>
      <w:r>
        <w:rPr>
          <w:rStyle w:val="Rimandonotaapidipagina"/>
          <w:sz w:val="24"/>
          <w:szCs w:val="24"/>
          <w:lang w:val="en-GB"/>
        </w:rPr>
        <w:footnoteReference w:id="57"/>
      </w:r>
      <w:r>
        <w:rPr>
          <w:sz w:val="24"/>
          <w:szCs w:val="24"/>
          <w:lang w:val="en-GB"/>
        </w:rPr>
        <w:t xml:space="preserve"> In the US case of Field v. Google, the court held that Google was allowed to create </w:t>
      </w:r>
      <w:r w:rsidRPr="008C3373">
        <w:rPr>
          <w:sz w:val="24"/>
          <w:szCs w:val="24"/>
          <w:lang w:val="en-GB"/>
        </w:rPr>
        <w:t xml:space="preserve">a "cached" version of the </w:t>
      </w:r>
      <w:r>
        <w:rPr>
          <w:sz w:val="24"/>
          <w:szCs w:val="24"/>
          <w:lang w:val="en-GB"/>
        </w:rPr>
        <w:t>plaintiff’s website containing his copyrighted works because license could have been implied by the absence of metatags.</w:t>
      </w:r>
      <w:r>
        <w:rPr>
          <w:rStyle w:val="Rimandonotaapidipagina"/>
          <w:sz w:val="24"/>
          <w:szCs w:val="24"/>
          <w:lang w:val="en-GB"/>
        </w:rPr>
        <w:footnoteReference w:id="58"/>
      </w:r>
      <w:r>
        <w:rPr>
          <w:sz w:val="24"/>
          <w:szCs w:val="24"/>
          <w:lang w:val="en-GB"/>
        </w:rPr>
        <w:t xml:space="preserve"> In Europe, a German c</w:t>
      </w:r>
      <w:r w:rsidRPr="00F85A79">
        <w:rPr>
          <w:sz w:val="24"/>
          <w:szCs w:val="24"/>
          <w:lang w:val="en-GB"/>
        </w:rPr>
        <w:t>ourt rule</w:t>
      </w:r>
      <w:r>
        <w:rPr>
          <w:sz w:val="24"/>
          <w:szCs w:val="24"/>
          <w:lang w:val="en-GB"/>
        </w:rPr>
        <w:t>d</w:t>
      </w:r>
      <w:r w:rsidRPr="00F85A79">
        <w:rPr>
          <w:sz w:val="24"/>
          <w:szCs w:val="24"/>
          <w:lang w:val="en-GB"/>
        </w:rPr>
        <w:t xml:space="preserve"> that</w:t>
      </w:r>
      <w:r>
        <w:rPr>
          <w:sz w:val="24"/>
          <w:szCs w:val="24"/>
          <w:lang w:val="en-GB"/>
        </w:rPr>
        <w:t xml:space="preserve"> a</w:t>
      </w:r>
      <w:r w:rsidRPr="00F85A79">
        <w:rPr>
          <w:sz w:val="24"/>
          <w:szCs w:val="24"/>
          <w:lang w:val="en-GB"/>
        </w:rPr>
        <w:t xml:space="preserve"> web</w:t>
      </w:r>
      <w:r>
        <w:rPr>
          <w:sz w:val="24"/>
          <w:szCs w:val="24"/>
          <w:lang w:val="en-GB"/>
        </w:rPr>
        <w:t>site owner who did not adopt widely available measures</w:t>
      </w:r>
      <w:r w:rsidRPr="00F85A79">
        <w:rPr>
          <w:sz w:val="24"/>
          <w:szCs w:val="24"/>
          <w:lang w:val="en-GB"/>
        </w:rPr>
        <w:t xml:space="preserve">, such as </w:t>
      </w:r>
      <w:r>
        <w:rPr>
          <w:sz w:val="24"/>
          <w:szCs w:val="24"/>
          <w:lang w:val="en-GB"/>
        </w:rPr>
        <w:t>a</w:t>
      </w:r>
      <w:r w:rsidRPr="00F85A79">
        <w:rPr>
          <w:sz w:val="24"/>
          <w:szCs w:val="24"/>
          <w:lang w:val="en-GB"/>
        </w:rPr>
        <w:t xml:space="preserve"> robot exclusion protocol</w:t>
      </w:r>
      <w:r>
        <w:rPr>
          <w:sz w:val="24"/>
          <w:szCs w:val="24"/>
          <w:lang w:val="en-GB"/>
        </w:rPr>
        <w:t xml:space="preserve"> </w:t>
      </w:r>
      <w:r w:rsidRPr="00F85A79">
        <w:rPr>
          <w:sz w:val="24"/>
          <w:szCs w:val="24"/>
          <w:lang w:val="en-GB"/>
        </w:rPr>
        <w:t>(robot.txt), grant</w:t>
      </w:r>
      <w:r>
        <w:rPr>
          <w:sz w:val="24"/>
          <w:szCs w:val="24"/>
          <w:lang w:val="en-GB"/>
        </w:rPr>
        <w:t>ed</w:t>
      </w:r>
      <w:r w:rsidRPr="00F85A79">
        <w:rPr>
          <w:sz w:val="24"/>
          <w:szCs w:val="24"/>
          <w:lang w:val="en-GB"/>
        </w:rPr>
        <w:t xml:space="preserve"> an implied licence to </w:t>
      </w:r>
      <w:r>
        <w:rPr>
          <w:sz w:val="24"/>
          <w:szCs w:val="24"/>
          <w:lang w:val="en-GB"/>
        </w:rPr>
        <w:t xml:space="preserve">Google </w:t>
      </w:r>
      <w:r w:rsidRPr="00F85A79">
        <w:rPr>
          <w:sz w:val="24"/>
          <w:szCs w:val="24"/>
          <w:lang w:val="en-GB"/>
        </w:rPr>
        <w:t xml:space="preserve">to </w:t>
      </w:r>
      <w:r w:rsidRPr="00144F39">
        <w:rPr>
          <w:sz w:val="24"/>
          <w:szCs w:val="24"/>
          <w:lang w:val="en-GB"/>
        </w:rPr>
        <w:t>crawl</w:t>
      </w:r>
      <w:r w:rsidRPr="00F85A79">
        <w:rPr>
          <w:sz w:val="24"/>
          <w:szCs w:val="24"/>
          <w:lang w:val="en-GB"/>
        </w:rPr>
        <w:t xml:space="preserve"> and </w:t>
      </w:r>
      <w:r w:rsidRPr="00ED6FB3">
        <w:rPr>
          <w:sz w:val="24"/>
          <w:szCs w:val="24"/>
          <w:lang w:val="en-GB"/>
        </w:rPr>
        <w:t>display</w:t>
      </w:r>
      <w:r>
        <w:rPr>
          <w:sz w:val="24"/>
          <w:szCs w:val="24"/>
          <w:lang w:val="en-GB"/>
        </w:rPr>
        <w:t xml:space="preserve"> </w:t>
      </w:r>
      <w:r w:rsidRPr="00ED6FB3">
        <w:rPr>
          <w:sz w:val="24"/>
          <w:szCs w:val="24"/>
          <w:lang w:val="en-GB"/>
        </w:rPr>
        <w:t>her works as thumbnails</w:t>
      </w:r>
      <w:r>
        <w:rPr>
          <w:sz w:val="24"/>
          <w:szCs w:val="24"/>
          <w:lang w:val="en-GB"/>
        </w:rPr>
        <w:t xml:space="preserve"> </w:t>
      </w:r>
      <w:r w:rsidRPr="00ED6FB3">
        <w:rPr>
          <w:sz w:val="24"/>
          <w:szCs w:val="24"/>
          <w:lang w:val="en-GB"/>
        </w:rPr>
        <w:t>in Google’s image</w:t>
      </w:r>
      <w:r>
        <w:rPr>
          <w:sz w:val="24"/>
          <w:szCs w:val="24"/>
          <w:lang w:val="en-GB"/>
        </w:rPr>
        <w:t>-</w:t>
      </w:r>
      <w:r w:rsidRPr="00ED6FB3">
        <w:rPr>
          <w:sz w:val="24"/>
          <w:szCs w:val="24"/>
          <w:lang w:val="en-GB"/>
        </w:rPr>
        <w:t>search function</w:t>
      </w:r>
      <w:r>
        <w:rPr>
          <w:rStyle w:val="Rimandonotaapidipagina"/>
          <w:sz w:val="24"/>
          <w:szCs w:val="24"/>
          <w:lang w:val="en-GB"/>
        </w:rPr>
        <w:footnoteReference w:id="59"/>
      </w:r>
      <w:r w:rsidRPr="00F85A79">
        <w:rPr>
          <w:sz w:val="24"/>
          <w:szCs w:val="24"/>
          <w:lang w:val="en-GB"/>
        </w:rPr>
        <w:t>.</w:t>
      </w:r>
      <w:r>
        <w:rPr>
          <w:sz w:val="24"/>
          <w:szCs w:val="24"/>
          <w:lang w:val="en-GB"/>
        </w:rPr>
        <w:t xml:space="preserve"> The implied license theory was later rejected by the Court of Appeal</w:t>
      </w:r>
      <w:r>
        <w:rPr>
          <w:rStyle w:val="Rimandonotaapidipagina"/>
          <w:sz w:val="24"/>
          <w:szCs w:val="24"/>
          <w:lang w:val="en-GB"/>
        </w:rPr>
        <w:footnoteReference w:id="60"/>
      </w:r>
      <w:r>
        <w:rPr>
          <w:sz w:val="24"/>
          <w:szCs w:val="24"/>
          <w:lang w:val="en-GB"/>
        </w:rPr>
        <w:t xml:space="preserve"> and by the German Federal Supreme Court.</w:t>
      </w:r>
      <w:r>
        <w:rPr>
          <w:rStyle w:val="Rimandonotaapidipagina"/>
          <w:sz w:val="24"/>
          <w:szCs w:val="24"/>
          <w:lang w:val="en-GB"/>
        </w:rPr>
        <w:footnoteReference w:id="61"/>
      </w:r>
      <w:r>
        <w:rPr>
          <w:sz w:val="24"/>
          <w:szCs w:val="24"/>
          <w:lang w:val="en-GB"/>
        </w:rPr>
        <w:t xml:space="preserve"> However, the latter </w:t>
      </w:r>
      <w:r w:rsidRPr="00ED6FB3">
        <w:rPr>
          <w:sz w:val="24"/>
          <w:szCs w:val="24"/>
          <w:lang w:val="en-GB"/>
        </w:rPr>
        <w:t>decided in Google’s favour and held that the reproduction</w:t>
      </w:r>
      <w:r>
        <w:rPr>
          <w:sz w:val="24"/>
          <w:szCs w:val="24"/>
          <w:lang w:val="en-GB"/>
        </w:rPr>
        <w:t xml:space="preserve"> </w:t>
      </w:r>
      <w:r w:rsidRPr="00ED6FB3">
        <w:rPr>
          <w:sz w:val="24"/>
          <w:szCs w:val="24"/>
          <w:lang w:val="en-GB"/>
        </w:rPr>
        <w:t>of the images as preview pictures</w:t>
      </w:r>
      <w:r>
        <w:rPr>
          <w:sz w:val="24"/>
          <w:szCs w:val="24"/>
          <w:lang w:val="en-GB"/>
        </w:rPr>
        <w:t xml:space="preserve"> </w:t>
      </w:r>
      <w:r w:rsidRPr="00ED6FB3">
        <w:rPr>
          <w:sz w:val="24"/>
          <w:szCs w:val="24"/>
          <w:lang w:val="en-GB"/>
        </w:rPr>
        <w:t>was not</w:t>
      </w:r>
      <w:r>
        <w:rPr>
          <w:sz w:val="24"/>
          <w:szCs w:val="24"/>
          <w:lang w:val="en-GB"/>
        </w:rPr>
        <w:t xml:space="preserve"> </w:t>
      </w:r>
      <w:r w:rsidRPr="00ED6FB3">
        <w:rPr>
          <w:sz w:val="24"/>
          <w:szCs w:val="24"/>
          <w:lang w:val="en-GB"/>
        </w:rPr>
        <w:t>unlawful because Google could interpret</w:t>
      </w:r>
      <w:r>
        <w:rPr>
          <w:sz w:val="24"/>
          <w:szCs w:val="24"/>
          <w:lang w:val="en-GB"/>
        </w:rPr>
        <w:t xml:space="preserve"> </w:t>
      </w:r>
      <w:r w:rsidRPr="00ED6FB3">
        <w:rPr>
          <w:sz w:val="24"/>
          <w:szCs w:val="24"/>
          <w:lang w:val="en-GB"/>
        </w:rPr>
        <w:t xml:space="preserve">the claimant’s actions </w:t>
      </w:r>
      <w:r>
        <w:rPr>
          <w:sz w:val="24"/>
          <w:szCs w:val="24"/>
          <w:lang w:val="en-GB"/>
        </w:rPr>
        <w:t xml:space="preserve">of not using the technical possibilities available </w:t>
      </w:r>
      <w:r w:rsidRPr="00ED6FB3">
        <w:rPr>
          <w:sz w:val="24"/>
          <w:szCs w:val="24"/>
          <w:lang w:val="en-GB"/>
        </w:rPr>
        <w:t xml:space="preserve">as </w:t>
      </w:r>
      <w:r>
        <w:rPr>
          <w:sz w:val="24"/>
          <w:szCs w:val="24"/>
          <w:lang w:val="en-GB"/>
        </w:rPr>
        <w:t>consent wi</w:t>
      </w:r>
      <w:r w:rsidRPr="00ED6FB3">
        <w:rPr>
          <w:sz w:val="24"/>
          <w:szCs w:val="24"/>
          <w:lang w:val="en-GB"/>
        </w:rPr>
        <w:t>th regard</w:t>
      </w:r>
      <w:r>
        <w:rPr>
          <w:sz w:val="24"/>
          <w:szCs w:val="24"/>
          <w:lang w:val="en-GB"/>
        </w:rPr>
        <w:t xml:space="preserve"> </w:t>
      </w:r>
      <w:r w:rsidRPr="00ED6FB3">
        <w:rPr>
          <w:sz w:val="24"/>
          <w:szCs w:val="24"/>
          <w:lang w:val="en-GB"/>
        </w:rPr>
        <w:t>to the display of her works in Google’s image</w:t>
      </w:r>
      <w:r>
        <w:rPr>
          <w:sz w:val="24"/>
          <w:szCs w:val="24"/>
          <w:lang w:val="en-GB"/>
        </w:rPr>
        <w:t>-</w:t>
      </w:r>
      <w:r w:rsidRPr="00ED6FB3">
        <w:rPr>
          <w:sz w:val="24"/>
          <w:szCs w:val="24"/>
          <w:lang w:val="en-GB"/>
        </w:rPr>
        <w:t>search</w:t>
      </w:r>
      <w:r>
        <w:rPr>
          <w:sz w:val="24"/>
          <w:szCs w:val="24"/>
          <w:lang w:val="en-GB"/>
        </w:rPr>
        <w:t xml:space="preserve"> </w:t>
      </w:r>
      <w:r w:rsidRPr="00ED6FB3">
        <w:rPr>
          <w:sz w:val="24"/>
          <w:szCs w:val="24"/>
          <w:lang w:val="en-GB"/>
        </w:rPr>
        <w:t>results</w:t>
      </w:r>
      <w:r>
        <w:rPr>
          <w:sz w:val="24"/>
          <w:szCs w:val="24"/>
          <w:lang w:val="en-GB"/>
        </w:rPr>
        <w:t>.</w:t>
      </w:r>
      <w:r>
        <w:rPr>
          <w:rStyle w:val="Rimandonotaapidipagina"/>
          <w:sz w:val="24"/>
          <w:szCs w:val="24"/>
          <w:lang w:val="en-GB"/>
        </w:rPr>
        <w:footnoteReference w:id="62"/>
      </w:r>
      <w:r>
        <w:rPr>
          <w:sz w:val="24"/>
          <w:szCs w:val="24"/>
          <w:lang w:val="en-GB"/>
        </w:rPr>
        <w:t xml:space="preserve"> From these decisions, we may deduce that warnings given by robot.txt files and metatags may be an appropriate manner of reserving use for TDM.  </w:t>
      </w:r>
    </w:p>
    <w:p w14:paraId="57824E91" w14:textId="77777777" w:rsidR="00651F9B" w:rsidRDefault="00651F9B" w:rsidP="00651F9B">
      <w:pPr>
        <w:ind w:firstLine="397"/>
        <w:jc w:val="both"/>
        <w:rPr>
          <w:sz w:val="24"/>
          <w:szCs w:val="24"/>
          <w:lang w:val="en-GB"/>
        </w:rPr>
      </w:pPr>
      <w:r w:rsidRPr="000D6B52">
        <w:rPr>
          <w:sz w:val="24"/>
          <w:szCs w:val="24"/>
          <w:lang w:val="en-GB"/>
        </w:rPr>
        <w:t xml:space="preserve">Another point that should be stressed about the opt-out system is that the subject allowed to reserve the use of works for TDM is the “right holder”. </w:t>
      </w:r>
      <w:r>
        <w:rPr>
          <w:sz w:val="24"/>
          <w:szCs w:val="24"/>
          <w:lang w:val="en-GB"/>
        </w:rPr>
        <w:t>This term</w:t>
      </w:r>
      <w:r w:rsidRPr="000D6B52">
        <w:rPr>
          <w:sz w:val="24"/>
          <w:szCs w:val="24"/>
          <w:lang w:val="en-GB"/>
        </w:rPr>
        <w:t xml:space="preserve"> seems not to include other subjects, </w:t>
      </w:r>
      <w:r>
        <w:rPr>
          <w:sz w:val="24"/>
          <w:szCs w:val="24"/>
          <w:lang w:val="en-GB"/>
        </w:rPr>
        <w:t xml:space="preserve">such as </w:t>
      </w:r>
      <w:r w:rsidRPr="000D6B52">
        <w:rPr>
          <w:sz w:val="24"/>
          <w:szCs w:val="24"/>
          <w:lang w:val="en-GB"/>
        </w:rPr>
        <w:t>licensees. This</w:t>
      </w:r>
      <w:r>
        <w:rPr>
          <w:sz w:val="24"/>
          <w:szCs w:val="24"/>
          <w:lang w:val="en-GB"/>
        </w:rPr>
        <w:t xml:space="preserve"> may have an impact on websites and platforms sharing user content. Will they be able to legally prevent TDM by third parties, and how they will introduce the opt-out mechanism into their frameworks?</w:t>
      </w:r>
      <w:r>
        <w:rPr>
          <w:rStyle w:val="Rimandonotaapidipagina"/>
          <w:sz w:val="24"/>
          <w:szCs w:val="24"/>
          <w:lang w:val="en-GB"/>
        </w:rPr>
        <w:footnoteReference w:id="63"/>
      </w:r>
    </w:p>
    <w:p w14:paraId="3D0CFA1A" w14:textId="77777777" w:rsidR="00651F9B" w:rsidRDefault="00651F9B" w:rsidP="00651F9B">
      <w:pPr>
        <w:ind w:firstLine="397"/>
        <w:jc w:val="both"/>
        <w:rPr>
          <w:sz w:val="24"/>
          <w:szCs w:val="24"/>
          <w:lang w:val="en-GB"/>
        </w:rPr>
      </w:pPr>
      <w:r w:rsidRPr="007A4951">
        <w:rPr>
          <w:sz w:val="24"/>
          <w:szCs w:val="24"/>
          <w:lang w:val="en-GB"/>
        </w:rPr>
        <w:t xml:space="preserve">In conclusion, the European legislator </w:t>
      </w:r>
      <w:r>
        <w:rPr>
          <w:sz w:val="24"/>
          <w:szCs w:val="24"/>
          <w:lang w:val="en-GB"/>
        </w:rPr>
        <w:t xml:space="preserve">has opted </w:t>
      </w:r>
      <w:r w:rsidRPr="007A4951">
        <w:rPr>
          <w:sz w:val="24"/>
          <w:szCs w:val="24"/>
          <w:lang w:val="en-GB"/>
        </w:rPr>
        <w:t xml:space="preserve">for a </w:t>
      </w:r>
      <w:r>
        <w:rPr>
          <w:sz w:val="24"/>
          <w:szCs w:val="24"/>
          <w:lang w:val="en-GB"/>
        </w:rPr>
        <w:t>dual</w:t>
      </w:r>
      <w:r w:rsidRPr="007A4951">
        <w:rPr>
          <w:sz w:val="24"/>
          <w:szCs w:val="24"/>
          <w:lang w:val="en-GB"/>
        </w:rPr>
        <w:t xml:space="preserve"> solution</w:t>
      </w:r>
      <w:r>
        <w:rPr>
          <w:sz w:val="24"/>
          <w:szCs w:val="24"/>
          <w:lang w:val="en-GB"/>
        </w:rPr>
        <w:t>, distinguishing</w:t>
      </w:r>
      <w:r w:rsidRPr="007A4951">
        <w:rPr>
          <w:sz w:val="24"/>
          <w:szCs w:val="24"/>
          <w:lang w:val="en-GB"/>
        </w:rPr>
        <w:t xml:space="preserve"> between specific beneficiaries that </w:t>
      </w:r>
      <w:r>
        <w:rPr>
          <w:sz w:val="24"/>
          <w:szCs w:val="24"/>
          <w:lang w:val="en-GB"/>
        </w:rPr>
        <w:t>come</w:t>
      </w:r>
      <w:r w:rsidRPr="007A4951">
        <w:rPr>
          <w:sz w:val="24"/>
          <w:szCs w:val="24"/>
          <w:lang w:val="en-GB"/>
        </w:rPr>
        <w:t xml:space="preserve"> within the scope of </w:t>
      </w:r>
      <w:r>
        <w:rPr>
          <w:sz w:val="24"/>
          <w:szCs w:val="24"/>
          <w:lang w:val="en-GB"/>
        </w:rPr>
        <w:t>A</w:t>
      </w:r>
      <w:r w:rsidRPr="007A4951">
        <w:rPr>
          <w:sz w:val="24"/>
          <w:szCs w:val="24"/>
          <w:lang w:val="en-GB"/>
        </w:rPr>
        <w:t xml:space="preserve">rt. 3 and other subjects whose activities will depend </w:t>
      </w:r>
      <w:proofErr w:type="gramStart"/>
      <w:r>
        <w:rPr>
          <w:sz w:val="24"/>
          <w:szCs w:val="24"/>
          <w:lang w:val="en-GB"/>
        </w:rPr>
        <w:t>in particular on</w:t>
      </w:r>
      <w:proofErr w:type="gramEnd"/>
      <w:r>
        <w:rPr>
          <w:sz w:val="24"/>
          <w:szCs w:val="24"/>
          <w:lang w:val="en-GB"/>
        </w:rPr>
        <w:t xml:space="preserve"> </w:t>
      </w:r>
      <w:r w:rsidRPr="007A4951">
        <w:rPr>
          <w:sz w:val="24"/>
          <w:szCs w:val="24"/>
          <w:lang w:val="en-GB"/>
        </w:rPr>
        <w:t xml:space="preserve">the absence of </w:t>
      </w:r>
      <w:r>
        <w:rPr>
          <w:sz w:val="24"/>
          <w:szCs w:val="24"/>
          <w:lang w:val="en-GB"/>
        </w:rPr>
        <w:t>any</w:t>
      </w:r>
      <w:r w:rsidRPr="007A4951">
        <w:rPr>
          <w:sz w:val="24"/>
          <w:szCs w:val="24"/>
          <w:lang w:val="en-GB"/>
        </w:rPr>
        <w:t xml:space="preserve"> reservation of rights </w:t>
      </w:r>
      <w:r>
        <w:rPr>
          <w:sz w:val="24"/>
          <w:szCs w:val="24"/>
          <w:lang w:val="en-GB"/>
        </w:rPr>
        <w:t xml:space="preserve">on the part of </w:t>
      </w:r>
      <w:r w:rsidRPr="007A4951">
        <w:rPr>
          <w:sz w:val="24"/>
          <w:szCs w:val="24"/>
          <w:lang w:val="en-GB"/>
        </w:rPr>
        <w:t xml:space="preserve">the right holder. The introduction of limitations </w:t>
      </w:r>
      <w:r>
        <w:rPr>
          <w:sz w:val="24"/>
          <w:szCs w:val="24"/>
          <w:lang w:val="en-GB"/>
        </w:rPr>
        <w:t xml:space="preserve">on </w:t>
      </w:r>
      <w:r w:rsidRPr="007A4951">
        <w:rPr>
          <w:sz w:val="24"/>
          <w:szCs w:val="24"/>
          <w:lang w:val="en-GB"/>
        </w:rPr>
        <w:t>TDM was certainly needed</w:t>
      </w:r>
      <w:r>
        <w:rPr>
          <w:sz w:val="24"/>
          <w:szCs w:val="24"/>
          <w:lang w:val="en-GB"/>
        </w:rPr>
        <w:t>,</w:t>
      </w:r>
      <w:r w:rsidRPr="007A4951">
        <w:rPr>
          <w:sz w:val="24"/>
          <w:szCs w:val="24"/>
          <w:lang w:val="en-GB"/>
        </w:rPr>
        <w:t xml:space="preserve"> and the European Union </w:t>
      </w:r>
      <w:r>
        <w:rPr>
          <w:sz w:val="24"/>
          <w:szCs w:val="24"/>
          <w:lang w:val="en-GB"/>
        </w:rPr>
        <w:t xml:space="preserve">has </w:t>
      </w:r>
      <w:r w:rsidRPr="007A4951">
        <w:rPr>
          <w:sz w:val="24"/>
          <w:szCs w:val="24"/>
          <w:lang w:val="en-GB"/>
        </w:rPr>
        <w:t xml:space="preserve">positively introduced the exceptions </w:t>
      </w:r>
      <w:r>
        <w:rPr>
          <w:sz w:val="24"/>
          <w:szCs w:val="24"/>
          <w:lang w:val="en-GB"/>
        </w:rPr>
        <w:t>contained in Arts.</w:t>
      </w:r>
      <w:r w:rsidRPr="007A4951">
        <w:rPr>
          <w:sz w:val="24"/>
          <w:szCs w:val="24"/>
          <w:lang w:val="en-GB"/>
        </w:rPr>
        <w:t xml:space="preserve"> 3 and 4 as mandatory</w:t>
      </w:r>
      <w:r>
        <w:rPr>
          <w:sz w:val="24"/>
          <w:szCs w:val="24"/>
          <w:lang w:val="en-GB"/>
        </w:rPr>
        <w:t>.</w:t>
      </w:r>
      <w:r w:rsidRPr="007A4951">
        <w:rPr>
          <w:rStyle w:val="Rimandonotaapidipagina"/>
          <w:sz w:val="24"/>
          <w:szCs w:val="24"/>
          <w:lang w:val="en-GB"/>
        </w:rPr>
        <w:footnoteReference w:id="64"/>
      </w:r>
      <w:r w:rsidRPr="007A4951">
        <w:rPr>
          <w:sz w:val="24"/>
          <w:szCs w:val="24"/>
          <w:lang w:val="en-GB"/>
        </w:rPr>
        <w:t xml:space="preserve"> However, </w:t>
      </w:r>
      <w:r>
        <w:rPr>
          <w:sz w:val="24"/>
          <w:szCs w:val="24"/>
          <w:lang w:val="en-GB"/>
        </w:rPr>
        <w:t>there is a need to assess</w:t>
      </w:r>
      <w:r w:rsidRPr="007A4951">
        <w:rPr>
          <w:sz w:val="24"/>
          <w:szCs w:val="24"/>
          <w:lang w:val="en-GB"/>
        </w:rPr>
        <w:t xml:space="preserve"> whether </w:t>
      </w:r>
      <w:r>
        <w:rPr>
          <w:sz w:val="24"/>
          <w:szCs w:val="24"/>
          <w:lang w:val="en-GB"/>
        </w:rPr>
        <w:t>certain aspects of the reform are problematic, especially from the point of view of those wanting to perform TDM activities</w:t>
      </w:r>
      <w:r w:rsidRPr="007A4951">
        <w:rPr>
          <w:sz w:val="24"/>
          <w:szCs w:val="24"/>
          <w:lang w:val="en-GB"/>
        </w:rPr>
        <w:t xml:space="preserve">. </w:t>
      </w:r>
    </w:p>
    <w:p w14:paraId="14F15D9C" w14:textId="77777777" w:rsidR="00882A61" w:rsidRDefault="00882A61" w:rsidP="00651F9B">
      <w:pPr>
        <w:pStyle w:val="Paragrafoelenco"/>
        <w:ind w:left="360"/>
        <w:jc w:val="both"/>
        <w:rPr>
          <w:b/>
          <w:bCs/>
          <w:sz w:val="24"/>
          <w:szCs w:val="24"/>
          <w:lang w:val="en-GB"/>
        </w:rPr>
      </w:pPr>
    </w:p>
    <w:p w14:paraId="35E380BA" w14:textId="44308880" w:rsidR="00651F9B" w:rsidRDefault="00651F9B" w:rsidP="00651F9B">
      <w:pPr>
        <w:pStyle w:val="Paragrafoelenco"/>
        <w:ind w:left="360"/>
        <w:jc w:val="both"/>
        <w:rPr>
          <w:lang w:val="en-GB"/>
        </w:rPr>
      </w:pPr>
      <w:r w:rsidRPr="002423EB">
        <w:rPr>
          <w:b/>
          <w:bCs/>
          <w:sz w:val="24"/>
          <w:szCs w:val="24"/>
          <w:lang w:val="en-GB"/>
        </w:rPr>
        <w:lastRenderedPageBreak/>
        <w:t xml:space="preserve">6. </w:t>
      </w:r>
      <w:r>
        <w:rPr>
          <w:b/>
          <w:bCs/>
          <w:sz w:val="24"/>
          <w:szCs w:val="24"/>
          <w:lang w:val="en-GB"/>
        </w:rPr>
        <w:t>Art. 4 and the new dynamism of the express reservation in the light of access to data</w:t>
      </w:r>
    </w:p>
    <w:p w14:paraId="73CE2BC5" w14:textId="77777777" w:rsidR="00651F9B" w:rsidRDefault="00651F9B" w:rsidP="00651F9B">
      <w:pPr>
        <w:ind w:firstLine="397"/>
        <w:jc w:val="both"/>
        <w:rPr>
          <w:sz w:val="24"/>
          <w:szCs w:val="24"/>
          <w:lang w:val="en-GB"/>
        </w:rPr>
      </w:pPr>
      <w:r>
        <w:rPr>
          <w:sz w:val="24"/>
          <w:szCs w:val="24"/>
          <w:lang w:val="en-GB"/>
        </w:rPr>
        <w:t xml:space="preserve">The European Union, </w:t>
      </w:r>
      <w:proofErr w:type="gramStart"/>
      <w:r>
        <w:rPr>
          <w:sz w:val="24"/>
          <w:szCs w:val="24"/>
          <w:lang w:val="en-GB"/>
        </w:rPr>
        <w:t>in an attempt to</w:t>
      </w:r>
      <w:proofErr w:type="gramEnd"/>
      <w:r>
        <w:rPr>
          <w:sz w:val="24"/>
          <w:szCs w:val="24"/>
          <w:lang w:val="en-GB"/>
        </w:rPr>
        <w:t xml:space="preserve"> find a balance between the different visions and interests of right holders and users, gave its answer in the shape of the reform contained in the DSM Directive. The European system now provides an exception for determined subjects, research organizations and cultural heritage institutions, but it also provides for </w:t>
      </w:r>
      <w:r w:rsidRPr="007A4951">
        <w:rPr>
          <w:sz w:val="24"/>
          <w:szCs w:val="24"/>
          <w:lang w:val="en-GB"/>
        </w:rPr>
        <w:t xml:space="preserve">innovation </w:t>
      </w:r>
      <w:r>
        <w:rPr>
          <w:sz w:val="24"/>
          <w:szCs w:val="24"/>
          <w:lang w:val="en-GB"/>
        </w:rPr>
        <w:t xml:space="preserve">on the part of </w:t>
      </w:r>
      <w:r w:rsidRPr="007A4951">
        <w:rPr>
          <w:sz w:val="24"/>
          <w:szCs w:val="24"/>
          <w:lang w:val="en-GB"/>
        </w:rPr>
        <w:t>the private sector</w:t>
      </w:r>
      <w:r>
        <w:rPr>
          <w:sz w:val="24"/>
          <w:szCs w:val="24"/>
          <w:lang w:val="en-GB"/>
        </w:rPr>
        <w:t>,</w:t>
      </w:r>
      <w:r w:rsidRPr="007A4951">
        <w:rPr>
          <w:sz w:val="24"/>
          <w:szCs w:val="24"/>
          <w:lang w:val="en-GB"/>
        </w:rPr>
        <w:t xml:space="preserve"> for which the reform </w:t>
      </w:r>
      <w:r>
        <w:rPr>
          <w:sz w:val="24"/>
          <w:szCs w:val="24"/>
          <w:lang w:val="en-GB"/>
        </w:rPr>
        <w:t xml:space="preserve">prescribes </w:t>
      </w:r>
      <w:r w:rsidRPr="007A4951">
        <w:rPr>
          <w:sz w:val="24"/>
          <w:szCs w:val="24"/>
          <w:lang w:val="en-GB"/>
        </w:rPr>
        <w:t xml:space="preserve">a different treatment. </w:t>
      </w:r>
      <w:r>
        <w:rPr>
          <w:sz w:val="24"/>
          <w:szCs w:val="24"/>
          <w:lang w:val="en-GB"/>
        </w:rPr>
        <w:t xml:space="preserve">Under </w:t>
      </w:r>
      <w:r w:rsidRPr="007A4951">
        <w:rPr>
          <w:sz w:val="24"/>
          <w:szCs w:val="24"/>
          <w:lang w:val="en-GB"/>
        </w:rPr>
        <w:t xml:space="preserve">the general exception </w:t>
      </w:r>
      <w:r>
        <w:rPr>
          <w:sz w:val="24"/>
          <w:szCs w:val="24"/>
          <w:lang w:val="en-GB"/>
        </w:rPr>
        <w:t>contained</w:t>
      </w:r>
      <w:r w:rsidRPr="007A4951">
        <w:rPr>
          <w:sz w:val="24"/>
          <w:szCs w:val="24"/>
          <w:lang w:val="en-GB"/>
        </w:rPr>
        <w:t xml:space="preserve"> in </w:t>
      </w:r>
      <w:r>
        <w:rPr>
          <w:sz w:val="24"/>
          <w:szCs w:val="24"/>
          <w:lang w:val="en-GB"/>
        </w:rPr>
        <w:t>A</w:t>
      </w:r>
      <w:r w:rsidRPr="007A4951">
        <w:rPr>
          <w:sz w:val="24"/>
          <w:szCs w:val="24"/>
          <w:lang w:val="en-GB"/>
        </w:rPr>
        <w:t>rt. 4 everything may potentially become mineable by default</w:t>
      </w:r>
      <w:r>
        <w:rPr>
          <w:sz w:val="24"/>
          <w:szCs w:val="24"/>
          <w:lang w:val="en-GB"/>
        </w:rPr>
        <w:t xml:space="preserve">. However, given the possibility of reserving use, </w:t>
      </w:r>
      <w:r w:rsidRPr="007A4951">
        <w:rPr>
          <w:sz w:val="24"/>
          <w:szCs w:val="24"/>
          <w:lang w:val="en-GB"/>
        </w:rPr>
        <w:t xml:space="preserve">it is </w:t>
      </w:r>
      <w:r>
        <w:rPr>
          <w:sz w:val="24"/>
          <w:szCs w:val="24"/>
          <w:lang w:val="en-GB"/>
        </w:rPr>
        <w:t xml:space="preserve">in fact </w:t>
      </w:r>
      <w:r w:rsidRPr="007A4951">
        <w:rPr>
          <w:sz w:val="24"/>
          <w:szCs w:val="24"/>
          <w:lang w:val="en-GB"/>
        </w:rPr>
        <w:t xml:space="preserve">left to the right holder to allow TDM activities. Consequently, the Directive legitimizes a derivative market </w:t>
      </w:r>
      <w:r>
        <w:rPr>
          <w:sz w:val="24"/>
          <w:szCs w:val="24"/>
          <w:lang w:val="en-GB"/>
        </w:rPr>
        <w:t>in</w:t>
      </w:r>
      <w:r w:rsidRPr="007A4951">
        <w:rPr>
          <w:sz w:val="24"/>
          <w:szCs w:val="24"/>
          <w:lang w:val="en-GB"/>
        </w:rPr>
        <w:t xml:space="preserve"> TDM</w:t>
      </w:r>
      <w:r>
        <w:rPr>
          <w:sz w:val="24"/>
          <w:szCs w:val="24"/>
          <w:lang w:val="en-GB"/>
        </w:rPr>
        <w:t xml:space="preserve">, enabling </w:t>
      </w:r>
      <w:r w:rsidRPr="007A4951">
        <w:rPr>
          <w:sz w:val="24"/>
          <w:szCs w:val="24"/>
          <w:lang w:val="en-GB"/>
        </w:rPr>
        <w:t>right holders to control, license or entirely prohibit such activities</w:t>
      </w:r>
      <w:r>
        <w:rPr>
          <w:sz w:val="24"/>
          <w:szCs w:val="24"/>
          <w:lang w:val="en-GB"/>
        </w:rPr>
        <w:t>.</w:t>
      </w:r>
      <w:r w:rsidRPr="007A4951">
        <w:rPr>
          <w:rStyle w:val="Rimandonotaapidipagina"/>
          <w:sz w:val="24"/>
          <w:szCs w:val="24"/>
          <w:lang w:val="en-GB"/>
        </w:rPr>
        <w:footnoteReference w:id="65"/>
      </w:r>
      <w:r w:rsidRPr="007A4951">
        <w:rPr>
          <w:sz w:val="24"/>
          <w:szCs w:val="24"/>
          <w:lang w:val="en-GB"/>
        </w:rPr>
        <w:t xml:space="preserve"> This is explicitly confirmed by </w:t>
      </w:r>
      <w:r>
        <w:rPr>
          <w:sz w:val="24"/>
          <w:szCs w:val="24"/>
          <w:lang w:val="en-GB"/>
        </w:rPr>
        <w:t>R</w:t>
      </w:r>
      <w:r w:rsidRPr="007A4951">
        <w:rPr>
          <w:sz w:val="24"/>
          <w:szCs w:val="24"/>
          <w:lang w:val="en-GB"/>
        </w:rPr>
        <w:t>ecital 18</w:t>
      </w:r>
      <w:r>
        <w:rPr>
          <w:sz w:val="24"/>
          <w:szCs w:val="24"/>
          <w:lang w:val="en-GB"/>
        </w:rPr>
        <w:t>,</w:t>
      </w:r>
      <w:r w:rsidRPr="007A4951">
        <w:rPr>
          <w:sz w:val="24"/>
          <w:szCs w:val="24"/>
          <w:lang w:val="en-GB"/>
        </w:rPr>
        <w:t xml:space="preserve"> according to which right holders “remain able to license the uses of their works or other subject matter” in al</w:t>
      </w:r>
      <w:r>
        <w:rPr>
          <w:sz w:val="24"/>
          <w:szCs w:val="24"/>
          <w:lang w:val="en-GB"/>
        </w:rPr>
        <w:t>l</w:t>
      </w:r>
      <w:r w:rsidRPr="007A4951">
        <w:rPr>
          <w:sz w:val="24"/>
          <w:szCs w:val="24"/>
          <w:lang w:val="en-GB"/>
        </w:rPr>
        <w:t xml:space="preserve"> case</w:t>
      </w:r>
      <w:r>
        <w:rPr>
          <w:sz w:val="24"/>
          <w:szCs w:val="24"/>
          <w:lang w:val="en-GB"/>
        </w:rPr>
        <w:t>s</w:t>
      </w:r>
      <w:r w:rsidRPr="007A4951">
        <w:rPr>
          <w:sz w:val="24"/>
          <w:szCs w:val="24"/>
          <w:lang w:val="en-GB"/>
        </w:rPr>
        <w:t xml:space="preserve"> falling outside the scope of the exceptions provided </w:t>
      </w:r>
      <w:r>
        <w:rPr>
          <w:sz w:val="24"/>
          <w:szCs w:val="24"/>
          <w:lang w:val="en-GB"/>
        </w:rPr>
        <w:t xml:space="preserve">for </w:t>
      </w:r>
      <w:r w:rsidRPr="007A4951">
        <w:rPr>
          <w:sz w:val="24"/>
          <w:szCs w:val="24"/>
          <w:lang w:val="en-GB"/>
        </w:rPr>
        <w:t xml:space="preserve">by </w:t>
      </w:r>
      <w:r>
        <w:rPr>
          <w:sz w:val="24"/>
          <w:szCs w:val="24"/>
          <w:lang w:val="en-GB"/>
        </w:rPr>
        <w:t>A</w:t>
      </w:r>
      <w:r w:rsidRPr="007A4951">
        <w:rPr>
          <w:sz w:val="24"/>
          <w:szCs w:val="24"/>
          <w:lang w:val="en-GB"/>
        </w:rPr>
        <w:t xml:space="preserve">rt. 3 </w:t>
      </w:r>
      <w:r>
        <w:rPr>
          <w:sz w:val="24"/>
          <w:szCs w:val="24"/>
          <w:lang w:val="en-GB"/>
        </w:rPr>
        <w:t>of the DSM Directive or</w:t>
      </w:r>
      <w:r w:rsidRPr="007A4951">
        <w:rPr>
          <w:sz w:val="24"/>
          <w:szCs w:val="24"/>
          <w:lang w:val="en-GB"/>
        </w:rPr>
        <w:t xml:space="preserve"> by Directive 2001/29. </w:t>
      </w:r>
    </w:p>
    <w:p w14:paraId="47721A5B" w14:textId="77777777" w:rsidR="00651F9B" w:rsidRDefault="00651F9B" w:rsidP="00651F9B">
      <w:pPr>
        <w:ind w:firstLine="397"/>
        <w:jc w:val="both"/>
        <w:rPr>
          <w:sz w:val="24"/>
          <w:szCs w:val="24"/>
          <w:lang w:val="en-GB"/>
        </w:rPr>
      </w:pPr>
      <w:r>
        <w:rPr>
          <w:sz w:val="24"/>
          <w:szCs w:val="24"/>
          <w:lang w:val="en-GB"/>
        </w:rPr>
        <w:t xml:space="preserve">However, </w:t>
      </w:r>
      <w:proofErr w:type="gramStart"/>
      <w:r>
        <w:rPr>
          <w:sz w:val="24"/>
          <w:szCs w:val="24"/>
          <w:lang w:val="en-GB"/>
        </w:rPr>
        <w:t>in order to</w:t>
      </w:r>
      <w:proofErr w:type="gramEnd"/>
      <w:r>
        <w:rPr>
          <w:sz w:val="24"/>
          <w:szCs w:val="24"/>
          <w:lang w:val="en-GB"/>
        </w:rPr>
        <w:t xml:space="preserve"> enjoy such exclusivity in respect of their works and other subject matter, right holders are required to expressly reserve such use. This condition imposed by the legislator suggests that the solution advanced by the European Union where this general exception is concerned is to regulate TDM by imposing a formality on the right holder. I</w:t>
      </w:r>
      <w:r w:rsidRPr="00CE5985">
        <w:rPr>
          <w:sz w:val="24"/>
          <w:szCs w:val="24"/>
          <w:lang w:val="en-GB"/>
        </w:rPr>
        <w:t xml:space="preserve">n the context of copyright, some academics </w:t>
      </w:r>
      <w:r>
        <w:rPr>
          <w:sz w:val="24"/>
          <w:szCs w:val="24"/>
          <w:lang w:val="en-GB"/>
        </w:rPr>
        <w:t>have expressed opinions</w:t>
      </w:r>
      <w:r w:rsidRPr="00CE5985">
        <w:rPr>
          <w:sz w:val="24"/>
          <w:szCs w:val="24"/>
          <w:lang w:val="en-GB"/>
        </w:rPr>
        <w:t xml:space="preserve"> in favour of </w:t>
      </w:r>
      <w:r>
        <w:rPr>
          <w:sz w:val="24"/>
          <w:szCs w:val="24"/>
          <w:lang w:val="en-GB"/>
        </w:rPr>
        <w:t>formalizing exclusive rights</w:t>
      </w:r>
      <w:r w:rsidRPr="00791799">
        <w:rPr>
          <w:sz w:val="24"/>
          <w:szCs w:val="24"/>
          <w:lang w:val="en-GB"/>
        </w:rPr>
        <w:t xml:space="preserve"> </w:t>
      </w:r>
      <w:r>
        <w:rPr>
          <w:sz w:val="24"/>
          <w:szCs w:val="24"/>
          <w:lang w:val="en-GB"/>
        </w:rPr>
        <w:t xml:space="preserve">in the light of digitization, as this will make for more </w:t>
      </w:r>
      <w:r w:rsidRPr="00791799">
        <w:rPr>
          <w:sz w:val="24"/>
          <w:szCs w:val="24"/>
          <w:lang w:val="en-GB"/>
        </w:rPr>
        <w:t>legal certainty, enable a more balanced flow of information</w:t>
      </w:r>
      <w:r>
        <w:rPr>
          <w:sz w:val="24"/>
          <w:szCs w:val="24"/>
          <w:lang w:val="en-GB"/>
        </w:rPr>
        <w:t>,</w:t>
      </w:r>
      <w:r w:rsidRPr="00791799">
        <w:rPr>
          <w:rStyle w:val="Rimandonotaapidipagina"/>
          <w:sz w:val="24"/>
          <w:szCs w:val="24"/>
          <w:lang w:val="en-GB"/>
        </w:rPr>
        <w:footnoteReference w:id="66"/>
      </w:r>
      <w:r w:rsidRPr="00791799">
        <w:rPr>
          <w:sz w:val="24"/>
          <w:szCs w:val="24"/>
          <w:lang w:val="en-GB"/>
        </w:rPr>
        <w:t xml:space="preserve"> and </w:t>
      </w:r>
      <w:r>
        <w:rPr>
          <w:sz w:val="24"/>
          <w:szCs w:val="24"/>
          <w:lang w:val="en-GB"/>
        </w:rPr>
        <w:t>create a system</w:t>
      </w:r>
      <w:r w:rsidRPr="00791799">
        <w:rPr>
          <w:sz w:val="24"/>
          <w:szCs w:val="24"/>
          <w:lang w:val="en-GB"/>
        </w:rPr>
        <w:t xml:space="preserve"> better tailored for the production and distribution</w:t>
      </w:r>
      <w:r>
        <w:rPr>
          <w:sz w:val="24"/>
          <w:szCs w:val="24"/>
          <w:lang w:val="en-GB"/>
        </w:rPr>
        <w:t xml:space="preserve"> of works</w:t>
      </w:r>
      <w:r w:rsidRPr="00791799">
        <w:rPr>
          <w:sz w:val="24"/>
          <w:szCs w:val="24"/>
          <w:lang w:val="en-GB"/>
        </w:rPr>
        <w:t xml:space="preserve"> in the digital environment</w:t>
      </w:r>
      <w:r>
        <w:rPr>
          <w:sz w:val="24"/>
          <w:szCs w:val="24"/>
          <w:lang w:val="en-GB"/>
        </w:rPr>
        <w:t>.</w:t>
      </w:r>
      <w:r w:rsidRPr="00791799">
        <w:rPr>
          <w:rStyle w:val="Rimandonotaapidipagina"/>
          <w:sz w:val="24"/>
          <w:szCs w:val="24"/>
          <w:lang w:val="en-GB"/>
        </w:rPr>
        <w:footnoteReference w:id="67"/>
      </w:r>
      <w:r>
        <w:rPr>
          <w:sz w:val="24"/>
          <w:szCs w:val="24"/>
          <w:lang w:val="en-GB"/>
        </w:rPr>
        <w:t xml:space="preserve"> </w:t>
      </w:r>
    </w:p>
    <w:p w14:paraId="7F69DD36" w14:textId="61D85666" w:rsidR="00651F9B" w:rsidRDefault="00651F9B" w:rsidP="00651F9B">
      <w:pPr>
        <w:ind w:firstLine="397"/>
        <w:jc w:val="both"/>
        <w:rPr>
          <w:sz w:val="24"/>
          <w:szCs w:val="24"/>
          <w:lang w:val="en-GB"/>
        </w:rPr>
      </w:pPr>
      <w:r>
        <w:rPr>
          <w:sz w:val="24"/>
          <w:szCs w:val="24"/>
          <w:lang w:val="en-GB"/>
        </w:rPr>
        <w:t xml:space="preserve">In the case of Art. 4, a mechanism of this kind is also provided for the database </w:t>
      </w:r>
      <w:r w:rsidRPr="004975BD">
        <w:rPr>
          <w:i/>
          <w:iCs/>
          <w:sz w:val="24"/>
          <w:szCs w:val="24"/>
          <w:lang w:val="en-GB"/>
        </w:rPr>
        <w:t>sui generis</w:t>
      </w:r>
      <w:r>
        <w:rPr>
          <w:sz w:val="24"/>
          <w:szCs w:val="24"/>
          <w:lang w:val="en-GB"/>
        </w:rPr>
        <w:t xml:space="preserve"> right. The impact of this new provision on regulation of the </w:t>
      </w:r>
      <w:r w:rsidRPr="004975BD">
        <w:rPr>
          <w:i/>
          <w:iCs/>
          <w:sz w:val="24"/>
          <w:szCs w:val="24"/>
          <w:lang w:val="en-GB"/>
        </w:rPr>
        <w:t>sui generis</w:t>
      </w:r>
      <w:r>
        <w:rPr>
          <w:sz w:val="24"/>
          <w:szCs w:val="24"/>
          <w:lang w:val="en-GB"/>
        </w:rPr>
        <w:t xml:space="preserve"> right may be more relevant than it appears at first sight. As anticipated in Section 3, the interference between a database and TDM activity is stronger than in the case of copyright. On the one hand, according to Art. 7.1 of Directive 96/9, it is the exclusive right of the database owner to prevent extraction of all or substantial parts of the database for any reason. On the other hand, TDM is a broad concept </w:t>
      </w:r>
      <w:r w:rsidRPr="00CE5985">
        <w:rPr>
          <w:sz w:val="24"/>
          <w:szCs w:val="24"/>
          <w:lang w:val="en-GB"/>
        </w:rPr>
        <w:t>involv</w:t>
      </w:r>
      <w:r>
        <w:rPr>
          <w:sz w:val="24"/>
          <w:szCs w:val="24"/>
          <w:lang w:val="en-GB"/>
        </w:rPr>
        <w:t>ing</w:t>
      </w:r>
      <w:r w:rsidRPr="00CE5985">
        <w:rPr>
          <w:sz w:val="24"/>
          <w:szCs w:val="24"/>
          <w:lang w:val="en-GB"/>
        </w:rPr>
        <w:t xml:space="preserve"> different activities in many fields</w:t>
      </w:r>
      <w:r>
        <w:rPr>
          <w:sz w:val="24"/>
          <w:szCs w:val="24"/>
          <w:lang w:val="en-GB"/>
        </w:rPr>
        <w:t>,</w:t>
      </w:r>
      <w:r w:rsidRPr="00CE5985">
        <w:rPr>
          <w:sz w:val="24"/>
          <w:szCs w:val="24"/>
          <w:lang w:val="en-GB"/>
        </w:rPr>
        <w:t xml:space="preserve"> which typically correspond with the way a database is exploited. Considering that the mere consultation of </w:t>
      </w:r>
      <w:r>
        <w:rPr>
          <w:sz w:val="24"/>
          <w:szCs w:val="24"/>
          <w:lang w:val="en-GB"/>
        </w:rPr>
        <w:t>a</w:t>
      </w:r>
      <w:r w:rsidRPr="00CE5985">
        <w:rPr>
          <w:sz w:val="24"/>
          <w:szCs w:val="24"/>
          <w:lang w:val="en-GB"/>
        </w:rPr>
        <w:t xml:space="preserve"> database is out</w:t>
      </w:r>
      <w:r>
        <w:rPr>
          <w:sz w:val="24"/>
          <w:szCs w:val="24"/>
          <w:lang w:val="en-GB"/>
        </w:rPr>
        <w:t>side</w:t>
      </w:r>
      <w:r w:rsidRPr="00CE5985">
        <w:rPr>
          <w:sz w:val="24"/>
          <w:szCs w:val="24"/>
          <w:lang w:val="en-GB"/>
        </w:rPr>
        <w:t xml:space="preserve"> the scope of protection</w:t>
      </w:r>
      <w:r>
        <w:rPr>
          <w:sz w:val="24"/>
          <w:szCs w:val="24"/>
          <w:lang w:val="en-GB"/>
        </w:rPr>
        <w:t>,</w:t>
      </w:r>
      <w:r w:rsidRPr="00CE5985">
        <w:rPr>
          <w:rStyle w:val="Rimandonotaapidipagina"/>
          <w:sz w:val="24"/>
          <w:szCs w:val="24"/>
          <w:lang w:val="en-GB"/>
        </w:rPr>
        <w:footnoteReference w:id="68"/>
      </w:r>
      <w:r w:rsidRPr="00CE5985">
        <w:rPr>
          <w:sz w:val="24"/>
          <w:szCs w:val="24"/>
          <w:lang w:val="en-GB"/>
        </w:rPr>
        <w:t xml:space="preserve"> apart from </w:t>
      </w:r>
      <w:r>
        <w:rPr>
          <w:sz w:val="24"/>
          <w:szCs w:val="24"/>
          <w:lang w:val="en-GB"/>
        </w:rPr>
        <w:t>extractions</w:t>
      </w:r>
      <w:r w:rsidRPr="00CE5985">
        <w:rPr>
          <w:sz w:val="24"/>
          <w:szCs w:val="24"/>
          <w:lang w:val="en-GB"/>
        </w:rPr>
        <w:t xml:space="preserve"> which consist in the </w:t>
      </w:r>
      <w:r>
        <w:rPr>
          <w:sz w:val="24"/>
          <w:szCs w:val="24"/>
          <w:lang w:val="en-GB"/>
        </w:rPr>
        <w:t>straightforward</w:t>
      </w:r>
      <w:r w:rsidRPr="00CE5985">
        <w:rPr>
          <w:sz w:val="24"/>
          <w:szCs w:val="24"/>
          <w:lang w:val="en-GB"/>
        </w:rPr>
        <w:t xml:space="preserve"> reproduction and appropriation of the database, almost all the other uses may fall within the exception. The exclusive right of the database owner may </w:t>
      </w:r>
      <w:r>
        <w:rPr>
          <w:sz w:val="24"/>
          <w:szCs w:val="24"/>
          <w:lang w:val="en-GB"/>
        </w:rPr>
        <w:t>therefore be considerably restricted,</w:t>
      </w:r>
      <w:r w:rsidRPr="00CE5985">
        <w:rPr>
          <w:sz w:val="24"/>
          <w:szCs w:val="24"/>
          <w:lang w:val="en-GB"/>
        </w:rPr>
        <w:t xml:space="preserve"> if not </w:t>
      </w:r>
      <w:r>
        <w:rPr>
          <w:sz w:val="24"/>
          <w:szCs w:val="24"/>
          <w:lang w:val="en-GB"/>
        </w:rPr>
        <w:t>voided</w:t>
      </w:r>
      <w:r w:rsidRPr="00CE5985">
        <w:rPr>
          <w:sz w:val="24"/>
          <w:szCs w:val="24"/>
          <w:lang w:val="en-GB"/>
        </w:rPr>
        <w:t>, unless the owner expressly reserve</w:t>
      </w:r>
      <w:r>
        <w:rPr>
          <w:sz w:val="24"/>
          <w:szCs w:val="24"/>
          <w:lang w:val="en-GB"/>
        </w:rPr>
        <w:t>s</w:t>
      </w:r>
      <w:r w:rsidRPr="00CE5985">
        <w:rPr>
          <w:sz w:val="24"/>
          <w:szCs w:val="24"/>
          <w:lang w:val="en-GB"/>
        </w:rPr>
        <w:t xml:space="preserve"> </w:t>
      </w:r>
      <w:r>
        <w:rPr>
          <w:sz w:val="24"/>
          <w:szCs w:val="24"/>
          <w:lang w:val="en-GB"/>
        </w:rPr>
        <w:t>its</w:t>
      </w:r>
      <w:r w:rsidRPr="00CE5985">
        <w:rPr>
          <w:sz w:val="24"/>
          <w:szCs w:val="24"/>
          <w:lang w:val="en-GB"/>
        </w:rPr>
        <w:t xml:space="preserve"> use. This may have the practical effect </w:t>
      </w:r>
      <w:r>
        <w:rPr>
          <w:sz w:val="24"/>
          <w:szCs w:val="24"/>
          <w:lang w:val="en-GB"/>
        </w:rPr>
        <w:t>of</w:t>
      </w:r>
      <w:r w:rsidRPr="00CE5985">
        <w:rPr>
          <w:sz w:val="24"/>
          <w:szCs w:val="24"/>
          <w:lang w:val="en-GB"/>
        </w:rPr>
        <w:t xml:space="preserve"> </w:t>
      </w:r>
      <w:r>
        <w:rPr>
          <w:sz w:val="24"/>
          <w:szCs w:val="24"/>
          <w:lang w:val="en-GB"/>
        </w:rPr>
        <w:t xml:space="preserve">totally </w:t>
      </w:r>
      <w:r w:rsidRPr="00CE5985">
        <w:rPr>
          <w:sz w:val="24"/>
          <w:szCs w:val="24"/>
          <w:lang w:val="en-GB"/>
        </w:rPr>
        <w:t>reshap</w:t>
      </w:r>
      <w:r>
        <w:rPr>
          <w:sz w:val="24"/>
          <w:szCs w:val="24"/>
          <w:lang w:val="en-GB"/>
        </w:rPr>
        <w:t>ing</w:t>
      </w:r>
      <w:r w:rsidRPr="00CE5985">
        <w:rPr>
          <w:sz w:val="24"/>
          <w:szCs w:val="24"/>
          <w:lang w:val="en-GB"/>
        </w:rPr>
        <w:t xml:space="preserve"> </w:t>
      </w:r>
      <w:r>
        <w:rPr>
          <w:sz w:val="24"/>
          <w:szCs w:val="24"/>
          <w:lang w:val="en-GB"/>
        </w:rPr>
        <w:t xml:space="preserve">the </w:t>
      </w:r>
      <w:r w:rsidRPr="00CE5985">
        <w:rPr>
          <w:sz w:val="24"/>
          <w:szCs w:val="24"/>
          <w:lang w:val="en-GB"/>
        </w:rPr>
        <w:t xml:space="preserve">database </w:t>
      </w:r>
      <w:r>
        <w:rPr>
          <w:sz w:val="24"/>
          <w:szCs w:val="24"/>
          <w:lang w:val="en-GB"/>
        </w:rPr>
        <w:t>regime</w:t>
      </w:r>
      <w:r w:rsidRPr="00CE5985">
        <w:rPr>
          <w:sz w:val="24"/>
          <w:szCs w:val="24"/>
          <w:lang w:val="en-GB"/>
        </w:rPr>
        <w:t xml:space="preserve"> towards</w:t>
      </w:r>
      <w:r>
        <w:rPr>
          <w:sz w:val="24"/>
          <w:szCs w:val="24"/>
          <w:lang w:val="en-GB"/>
        </w:rPr>
        <w:t xml:space="preserve"> protection </w:t>
      </w:r>
      <w:proofErr w:type="gramStart"/>
      <w:r>
        <w:rPr>
          <w:sz w:val="24"/>
          <w:szCs w:val="24"/>
          <w:lang w:val="en-GB"/>
        </w:rPr>
        <w:t xml:space="preserve">through the </w:t>
      </w:r>
      <w:r w:rsidRPr="00CE5985">
        <w:rPr>
          <w:sz w:val="24"/>
          <w:szCs w:val="24"/>
          <w:lang w:val="en-GB"/>
        </w:rPr>
        <w:t>use of</w:t>
      </w:r>
      <w:proofErr w:type="gramEnd"/>
      <w:r w:rsidRPr="00CE5985">
        <w:rPr>
          <w:sz w:val="24"/>
          <w:szCs w:val="24"/>
          <w:lang w:val="en-GB"/>
        </w:rPr>
        <w:t xml:space="preserve"> formalities. </w:t>
      </w:r>
      <w:r>
        <w:rPr>
          <w:sz w:val="24"/>
          <w:szCs w:val="24"/>
          <w:lang w:val="en-GB"/>
        </w:rPr>
        <w:t xml:space="preserve">However, the relationship between the database regime and the TDM exception, and the impact of the latter on the former, will need to be further investigated. It should be added that, where the </w:t>
      </w:r>
      <w:r w:rsidRPr="00A8508C">
        <w:rPr>
          <w:sz w:val="24"/>
          <w:szCs w:val="24"/>
          <w:lang w:val="en-GB"/>
        </w:rPr>
        <w:t>right</w:t>
      </w:r>
      <w:r>
        <w:rPr>
          <w:sz w:val="24"/>
          <w:szCs w:val="24"/>
          <w:lang w:val="en-GB"/>
        </w:rPr>
        <w:t xml:space="preserve"> </w:t>
      </w:r>
      <w:r w:rsidRPr="00A8508C">
        <w:rPr>
          <w:sz w:val="24"/>
          <w:szCs w:val="24"/>
          <w:lang w:val="en-GB"/>
        </w:rPr>
        <w:t xml:space="preserve">to extract and/or re-utilize insubstantial parts of </w:t>
      </w:r>
      <w:r>
        <w:rPr>
          <w:sz w:val="24"/>
          <w:szCs w:val="24"/>
          <w:lang w:val="en-GB"/>
        </w:rPr>
        <w:t xml:space="preserve">a database </w:t>
      </w:r>
      <w:r w:rsidR="00390DFB">
        <w:rPr>
          <w:sz w:val="24"/>
          <w:szCs w:val="24"/>
          <w:lang w:val="en-GB"/>
        </w:rPr>
        <w:t xml:space="preserve">(already mentioned in Section 4) </w:t>
      </w:r>
      <w:r>
        <w:rPr>
          <w:sz w:val="24"/>
          <w:szCs w:val="24"/>
          <w:lang w:val="en-GB"/>
        </w:rPr>
        <w:t xml:space="preserve">are concerned, </w:t>
      </w:r>
      <w:proofErr w:type="gramStart"/>
      <w:r>
        <w:rPr>
          <w:sz w:val="24"/>
          <w:szCs w:val="24"/>
          <w:lang w:val="en-GB"/>
        </w:rPr>
        <w:t>it would seem that the</w:t>
      </w:r>
      <w:proofErr w:type="gramEnd"/>
      <w:r>
        <w:rPr>
          <w:sz w:val="24"/>
          <w:szCs w:val="24"/>
          <w:lang w:val="en-GB"/>
        </w:rPr>
        <w:t xml:space="preserve"> database owner’s option of reserving TDM use cannot be extended to prohibiting the exploitation of </w:t>
      </w:r>
      <w:r>
        <w:rPr>
          <w:sz w:val="24"/>
          <w:szCs w:val="24"/>
          <w:lang w:val="en-GB"/>
        </w:rPr>
        <w:lastRenderedPageBreak/>
        <w:t xml:space="preserve">insubstantial parts, as this user right, provided for by Art. 8.1 of Directive 96/9, sets a limit to the extension of the </w:t>
      </w:r>
      <w:r w:rsidRPr="004975BD">
        <w:rPr>
          <w:i/>
          <w:iCs/>
          <w:sz w:val="24"/>
          <w:szCs w:val="24"/>
          <w:lang w:val="en-GB"/>
        </w:rPr>
        <w:t>sui generis</w:t>
      </w:r>
      <w:r>
        <w:rPr>
          <w:sz w:val="24"/>
          <w:szCs w:val="24"/>
          <w:lang w:val="en-GB"/>
        </w:rPr>
        <w:t xml:space="preserve"> rights, which apply only to substantial parts of the database. This is confirmed by the fact that Art. 15 </w:t>
      </w:r>
      <w:r w:rsidRPr="006406A6">
        <w:rPr>
          <w:sz w:val="24"/>
          <w:szCs w:val="24"/>
          <w:lang w:val="en-GB"/>
        </w:rPr>
        <w:t>of Directive 96/9</w:t>
      </w:r>
      <w:r>
        <w:rPr>
          <w:sz w:val="24"/>
          <w:szCs w:val="24"/>
          <w:lang w:val="en-GB"/>
        </w:rPr>
        <w:t xml:space="preserve"> expressly states that arrangements under Art. 8 cannot be contractually overridden. </w:t>
      </w:r>
    </w:p>
    <w:p w14:paraId="1B585DC0" w14:textId="77777777" w:rsidR="00651F9B" w:rsidRDefault="00651F9B" w:rsidP="00651F9B">
      <w:pPr>
        <w:ind w:firstLine="397"/>
        <w:jc w:val="both"/>
        <w:rPr>
          <w:sz w:val="24"/>
          <w:szCs w:val="24"/>
          <w:lang w:val="en-GB"/>
        </w:rPr>
      </w:pPr>
      <w:r>
        <w:rPr>
          <w:sz w:val="24"/>
          <w:szCs w:val="24"/>
          <w:lang w:val="en-GB"/>
        </w:rPr>
        <w:t>The above-mentioned use of formalities may create an interesting positive paradigm, also applicable beyond the context of TDM.</w:t>
      </w:r>
      <w:r>
        <w:rPr>
          <w:rStyle w:val="Rimandonotaapidipagina"/>
          <w:sz w:val="24"/>
          <w:szCs w:val="24"/>
          <w:lang w:val="en-GB"/>
        </w:rPr>
        <w:footnoteReference w:id="69"/>
      </w:r>
      <w:r>
        <w:rPr>
          <w:sz w:val="24"/>
          <w:szCs w:val="24"/>
          <w:lang w:val="en-GB"/>
        </w:rPr>
        <w:t xml:space="preserve"> However, there are other elements of the reform to consider that may be critical. </w:t>
      </w:r>
    </w:p>
    <w:p w14:paraId="28114F6A" w14:textId="77777777" w:rsidR="00651F9B" w:rsidRDefault="00651F9B" w:rsidP="00651F9B">
      <w:pPr>
        <w:ind w:firstLine="397"/>
        <w:jc w:val="both"/>
        <w:rPr>
          <w:sz w:val="24"/>
          <w:szCs w:val="24"/>
          <w:lang w:val="en-GB"/>
        </w:rPr>
      </w:pPr>
      <w:r>
        <w:rPr>
          <w:sz w:val="24"/>
          <w:szCs w:val="24"/>
          <w:lang w:val="en-GB"/>
        </w:rPr>
        <w:t>The European Union has created a complex legal framework with two exceptions that explicitly deal with TDM and all the previous limitations still applicable, especially the exception for temporary acts of reproduction.</w:t>
      </w:r>
      <w:r>
        <w:rPr>
          <w:rStyle w:val="Rimandonotaapidipagina"/>
          <w:sz w:val="24"/>
          <w:szCs w:val="24"/>
          <w:lang w:val="en-GB"/>
        </w:rPr>
        <w:footnoteReference w:id="70"/>
      </w:r>
      <w:r>
        <w:rPr>
          <w:sz w:val="24"/>
          <w:szCs w:val="24"/>
          <w:lang w:val="en-GB"/>
        </w:rPr>
        <w:t xml:space="preserve"> In many cases, it may not be easy to distinguish between different situations. The first doubt is whether the legal certainty that was promised by the reform</w:t>
      </w:r>
      <w:r w:rsidRPr="007F73D8">
        <w:rPr>
          <w:sz w:val="24"/>
          <w:szCs w:val="24"/>
          <w:lang w:val="en-GB"/>
        </w:rPr>
        <w:t xml:space="preserve"> </w:t>
      </w:r>
      <w:r>
        <w:rPr>
          <w:sz w:val="24"/>
          <w:szCs w:val="24"/>
          <w:lang w:val="en-GB"/>
        </w:rPr>
        <w:t>has really been achieved.</w:t>
      </w:r>
      <w:r>
        <w:rPr>
          <w:rStyle w:val="Rimandonotaapidipagina"/>
          <w:sz w:val="24"/>
          <w:szCs w:val="24"/>
          <w:lang w:val="en-GB"/>
        </w:rPr>
        <w:footnoteReference w:id="71"/>
      </w:r>
      <w:r>
        <w:rPr>
          <w:sz w:val="24"/>
          <w:szCs w:val="24"/>
          <w:lang w:val="en-GB"/>
        </w:rPr>
        <w:t xml:space="preserve"> This may have a direct impact on the need to access data: the fragmentation of legal treatments dependent on many variables is conceptually and practically contrary to the smooth functioning of TDM, which requires simple rules for accessing data sets. </w:t>
      </w:r>
    </w:p>
    <w:p w14:paraId="3B2065FB" w14:textId="531DD248" w:rsidR="00651F9B" w:rsidRDefault="00651F9B" w:rsidP="00651F9B">
      <w:pPr>
        <w:ind w:firstLine="397"/>
        <w:jc w:val="both"/>
        <w:rPr>
          <w:sz w:val="24"/>
          <w:szCs w:val="24"/>
          <w:lang w:val="en-GB"/>
        </w:rPr>
      </w:pPr>
      <w:r>
        <w:rPr>
          <w:sz w:val="24"/>
          <w:szCs w:val="24"/>
          <w:lang w:val="en-GB"/>
        </w:rPr>
        <w:t>Another aspect of the reform is the transaction costs that a subject interested in TDM may have to bear, as this carries the risk of creating an obstacle to data access. Such transaction costs are of two kinds. The first pertains to the searching for the content to be mined, which will be more time-consuming and costly if it is necessary to distinguish between materials th</w:t>
      </w:r>
      <w:r w:rsidR="00413994">
        <w:rPr>
          <w:sz w:val="24"/>
          <w:szCs w:val="24"/>
          <w:lang w:val="en-GB"/>
        </w:rPr>
        <w:t>at</w:t>
      </w:r>
      <w:r>
        <w:rPr>
          <w:sz w:val="24"/>
          <w:szCs w:val="24"/>
          <w:lang w:val="en-GB"/>
        </w:rPr>
        <w:t xml:space="preserve"> can be mined free of charge and those that cannot, partly because of the technologies used. The second is represented by the need to negotiate a license if the content owner has reserved use for the purposes of TDM. Such reservation is highly predictable, especially in case of huge data sets, and is already established practice.</w:t>
      </w:r>
      <w:r>
        <w:rPr>
          <w:rStyle w:val="Rimandonotaapidipagina"/>
          <w:sz w:val="24"/>
          <w:szCs w:val="24"/>
          <w:lang w:val="en-GB"/>
        </w:rPr>
        <w:footnoteReference w:id="72"/>
      </w:r>
      <w:r>
        <w:rPr>
          <w:sz w:val="24"/>
          <w:szCs w:val="24"/>
          <w:lang w:val="en-GB"/>
        </w:rPr>
        <w:t xml:space="preserve"> This being the case, the bargaining power of the respective parties should also be taken into consideration. It may be difficult for many enterprises, especially start-ups and SMEs, to negotiate with owners of big data sets.</w:t>
      </w:r>
      <w:r>
        <w:rPr>
          <w:rStyle w:val="Rimandonotaapidipagina"/>
          <w:sz w:val="24"/>
          <w:szCs w:val="24"/>
          <w:lang w:val="en-GB"/>
        </w:rPr>
        <w:footnoteReference w:id="73"/>
      </w:r>
      <w:r>
        <w:rPr>
          <w:sz w:val="24"/>
          <w:szCs w:val="24"/>
          <w:lang w:val="en-GB"/>
        </w:rPr>
        <w:t xml:space="preserve"> The risk is that these subjects will be excluded from the field of TDM and AI, and that their efforts to innovate will be hindered. Given the importance of the initial data set required for training an AI system, in terms of its quality and quantity, there is a likelihood that the systems developed will be of lower quality if they are based on small data sets that can be more easily and cheaply accessed. </w:t>
      </w:r>
    </w:p>
    <w:p w14:paraId="64F52B2B" w14:textId="3FF33796" w:rsidR="00651F9B" w:rsidRDefault="00651F9B" w:rsidP="00651F9B">
      <w:pPr>
        <w:ind w:firstLine="397"/>
        <w:jc w:val="both"/>
        <w:rPr>
          <w:sz w:val="24"/>
          <w:szCs w:val="24"/>
          <w:lang w:val="en-GB"/>
        </w:rPr>
      </w:pPr>
      <w:proofErr w:type="gramStart"/>
      <w:r>
        <w:rPr>
          <w:sz w:val="24"/>
          <w:szCs w:val="24"/>
          <w:lang w:val="en-GB"/>
        </w:rPr>
        <w:t>In order to</w:t>
      </w:r>
      <w:proofErr w:type="gramEnd"/>
      <w:r>
        <w:rPr>
          <w:sz w:val="24"/>
          <w:szCs w:val="24"/>
          <w:lang w:val="en-GB"/>
        </w:rPr>
        <w:t xml:space="preserve"> at least reduce the negative effects of the first layer of transaction costs, a solution may be to provide clear, standardized indications concerning the “appropriate manner” of reserving use for TDM, which should be harmonized as much as possible among the Member States. </w:t>
      </w:r>
      <w:r w:rsidRPr="002C6C5F">
        <w:rPr>
          <w:sz w:val="24"/>
          <w:szCs w:val="24"/>
          <w:lang w:val="en-GB"/>
        </w:rPr>
        <w:t xml:space="preserve">Considering online contents, it </w:t>
      </w:r>
      <w:r w:rsidR="008D4909" w:rsidRPr="002C6C5F">
        <w:rPr>
          <w:sz w:val="24"/>
          <w:szCs w:val="24"/>
          <w:lang w:val="en-GB"/>
        </w:rPr>
        <w:t xml:space="preserve">may not be </w:t>
      </w:r>
      <w:r w:rsidR="00C80C19" w:rsidRPr="002C6C5F">
        <w:rPr>
          <w:sz w:val="24"/>
          <w:szCs w:val="24"/>
          <w:lang w:val="en-GB"/>
        </w:rPr>
        <w:t>feasi</w:t>
      </w:r>
      <w:r w:rsidR="008D4909" w:rsidRPr="002C6C5F">
        <w:rPr>
          <w:sz w:val="24"/>
          <w:szCs w:val="24"/>
          <w:lang w:val="en-GB"/>
        </w:rPr>
        <w:t xml:space="preserve">ble for every </w:t>
      </w:r>
      <w:r w:rsidRPr="002C6C5F">
        <w:rPr>
          <w:sz w:val="24"/>
          <w:szCs w:val="24"/>
          <w:lang w:val="en-GB"/>
        </w:rPr>
        <w:t>machine to read and interpret written terms and conditions which vary considerably from website to website. Therefore</w:t>
      </w:r>
      <w:r w:rsidRPr="00432824">
        <w:rPr>
          <w:sz w:val="24"/>
          <w:szCs w:val="24"/>
          <w:lang w:val="en-GB"/>
        </w:rPr>
        <w:t xml:space="preserve">, </w:t>
      </w:r>
      <w:r>
        <w:rPr>
          <w:sz w:val="24"/>
          <w:szCs w:val="24"/>
          <w:lang w:val="en-GB"/>
        </w:rPr>
        <w:t xml:space="preserve">to </w:t>
      </w:r>
      <w:r w:rsidRPr="00432824">
        <w:rPr>
          <w:sz w:val="24"/>
          <w:szCs w:val="24"/>
          <w:lang w:val="en-GB"/>
        </w:rPr>
        <w:t>facilitate TDM</w:t>
      </w:r>
      <w:r>
        <w:rPr>
          <w:sz w:val="24"/>
          <w:szCs w:val="24"/>
          <w:lang w:val="en-GB"/>
        </w:rPr>
        <w:t xml:space="preserve">, </w:t>
      </w:r>
      <w:r>
        <w:rPr>
          <w:sz w:val="24"/>
          <w:szCs w:val="24"/>
          <w:lang w:val="en-GB"/>
        </w:rPr>
        <w:lastRenderedPageBreak/>
        <w:t>it would be useful to use</w:t>
      </w:r>
      <w:r w:rsidRPr="00432824">
        <w:rPr>
          <w:sz w:val="24"/>
          <w:szCs w:val="24"/>
          <w:lang w:val="en-GB"/>
        </w:rPr>
        <w:t xml:space="preserve"> a protocol like robot.txt </w:t>
      </w:r>
      <w:r>
        <w:rPr>
          <w:sz w:val="24"/>
          <w:szCs w:val="24"/>
          <w:lang w:val="en-GB"/>
        </w:rPr>
        <w:t>to</w:t>
      </w:r>
      <w:r w:rsidRPr="00432824">
        <w:rPr>
          <w:sz w:val="24"/>
          <w:szCs w:val="24"/>
          <w:lang w:val="en-GB"/>
        </w:rPr>
        <w:t xml:space="preserve"> create a binary “mine”</w:t>
      </w:r>
      <w:proofErr w:type="gramStart"/>
      <w:r>
        <w:rPr>
          <w:sz w:val="24"/>
          <w:szCs w:val="24"/>
          <w:lang w:val="en-GB"/>
        </w:rPr>
        <w:t>/</w:t>
      </w:r>
      <w:r w:rsidRPr="00432824">
        <w:rPr>
          <w:sz w:val="24"/>
          <w:szCs w:val="24"/>
          <w:lang w:val="en-GB"/>
        </w:rPr>
        <w:t>“</w:t>
      </w:r>
      <w:proofErr w:type="gramEnd"/>
      <w:r w:rsidRPr="00432824">
        <w:rPr>
          <w:sz w:val="24"/>
          <w:szCs w:val="24"/>
          <w:lang w:val="en-GB"/>
        </w:rPr>
        <w:t>don’t mine” rule.</w:t>
      </w:r>
      <w:r>
        <w:rPr>
          <w:sz w:val="24"/>
          <w:szCs w:val="24"/>
          <w:lang w:val="en-GB"/>
        </w:rPr>
        <w:t xml:space="preserve"> National legal systems need to come up </w:t>
      </w:r>
      <w:r w:rsidRPr="00B15777">
        <w:rPr>
          <w:sz w:val="24"/>
          <w:szCs w:val="24"/>
          <w:lang w:val="en-GB"/>
        </w:rPr>
        <w:t xml:space="preserve">with a formula </w:t>
      </w:r>
      <w:r>
        <w:rPr>
          <w:sz w:val="24"/>
          <w:szCs w:val="24"/>
          <w:lang w:val="en-GB"/>
        </w:rPr>
        <w:t xml:space="preserve">that establishes </w:t>
      </w:r>
      <w:r w:rsidRPr="00B15777">
        <w:rPr>
          <w:sz w:val="24"/>
          <w:szCs w:val="24"/>
          <w:lang w:val="en-GB"/>
        </w:rPr>
        <w:t>a proper balance between the certainty s</w:t>
      </w:r>
      <w:r>
        <w:rPr>
          <w:sz w:val="24"/>
          <w:szCs w:val="24"/>
          <w:lang w:val="en-GB"/>
        </w:rPr>
        <w:t xml:space="preserve">ought </w:t>
      </w:r>
      <w:r w:rsidRPr="00B15777">
        <w:rPr>
          <w:sz w:val="24"/>
          <w:szCs w:val="24"/>
          <w:lang w:val="en-GB"/>
        </w:rPr>
        <w:t>by the reform and the flexibility that technological development necessarily requires</w:t>
      </w:r>
      <w:r>
        <w:rPr>
          <w:sz w:val="24"/>
          <w:szCs w:val="24"/>
          <w:lang w:val="en-GB"/>
        </w:rPr>
        <w:t>.</w:t>
      </w:r>
      <w:r>
        <w:rPr>
          <w:rStyle w:val="Rimandonotaapidipagina"/>
          <w:sz w:val="24"/>
          <w:szCs w:val="24"/>
          <w:lang w:val="en-GB"/>
        </w:rPr>
        <w:footnoteReference w:id="74"/>
      </w:r>
    </w:p>
    <w:p w14:paraId="2C85FA6C" w14:textId="77777777" w:rsidR="00651F9B" w:rsidRDefault="00651F9B" w:rsidP="00651F9B">
      <w:pPr>
        <w:ind w:firstLine="397"/>
        <w:jc w:val="both"/>
        <w:rPr>
          <w:sz w:val="24"/>
          <w:szCs w:val="24"/>
          <w:lang w:val="en-GB"/>
        </w:rPr>
      </w:pPr>
      <w:r>
        <w:rPr>
          <w:sz w:val="24"/>
          <w:szCs w:val="24"/>
          <w:lang w:val="en-GB"/>
        </w:rPr>
        <w:t>As far as the second layer is concerned, one way of lowering transaction costs might be to issue standard licenses for the use of content covered by IP rights that were appropriate, consistent and adequately tailored for TDM.</w:t>
      </w:r>
      <w:r>
        <w:rPr>
          <w:rStyle w:val="Rimandonotaapidipagina"/>
          <w:sz w:val="24"/>
          <w:szCs w:val="24"/>
          <w:lang w:val="en-GB"/>
        </w:rPr>
        <w:footnoteReference w:id="75"/>
      </w:r>
      <w:r>
        <w:rPr>
          <w:sz w:val="24"/>
          <w:szCs w:val="24"/>
          <w:lang w:val="en-GB"/>
        </w:rPr>
        <w:t xml:space="preserve"> It is worth mentioning in this context that the Creative Commons (CC) licenses used to regulate the exploitation of works online by setting different combinations of pre-determined conditions are also suitable for TDM,</w:t>
      </w:r>
      <w:r>
        <w:rPr>
          <w:rStyle w:val="Rimandonotaapidipagina"/>
          <w:sz w:val="24"/>
          <w:szCs w:val="24"/>
          <w:lang w:val="en-GB"/>
        </w:rPr>
        <w:footnoteReference w:id="76"/>
      </w:r>
      <w:r>
        <w:rPr>
          <w:sz w:val="24"/>
          <w:szCs w:val="24"/>
          <w:lang w:val="en-GB"/>
        </w:rPr>
        <w:t xml:space="preserve"> providing</w:t>
      </w:r>
      <w:r w:rsidRPr="00746D92">
        <w:rPr>
          <w:sz w:val="24"/>
          <w:szCs w:val="24"/>
          <w:lang w:val="en-GB"/>
        </w:rPr>
        <w:t xml:space="preserve"> those </w:t>
      </w:r>
      <w:r>
        <w:rPr>
          <w:sz w:val="24"/>
          <w:szCs w:val="24"/>
          <w:lang w:val="en-GB"/>
        </w:rPr>
        <w:t>adopting such</w:t>
      </w:r>
      <w:r w:rsidRPr="00746D92">
        <w:rPr>
          <w:sz w:val="24"/>
          <w:szCs w:val="24"/>
          <w:lang w:val="en-GB"/>
        </w:rPr>
        <w:t xml:space="preserve"> license</w:t>
      </w:r>
      <w:r>
        <w:rPr>
          <w:sz w:val="24"/>
          <w:szCs w:val="24"/>
          <w:lang w:val="en-GB"/>
        </w:rPr>
        <w:t xml:space="preserve">s </w:t>
      </w:r>
      <w:r w:rsidRPr="00746D92">
        <w:rPr>
          <w:sz w:val="24"/>
          <w:szCs w:val="24"/>
          <w:lang w:val="en-GB"/>
        </w:rPr>
        <w:t>with metadata</w:t>
      </w:r>
      <w:r>
        <w:rPr>
          <w:rStyle w:val="Rimandonotaapidipagina"/>
          <w:sz w:val="24"/>
          <w:szCs w:val="24"/>
          <w:lang w:val="en-GB"/>
        </w:rPr>
        <w:footnoteReference w:id="77"/>
      </w:r>
      <w:r w:rsidRPr="00746D92">
        <w:rPr>
          <w:sz w:val="24"/>
          <w:szCs w:val="24"/>
          <w:lang w:val="en-GB"/>
        </w:rPr>
        <w:t xml:space="preserve"> that enables a </w:t>
      </w:r>
      <w:r>
        <w:rPr>
          <w:sz w:val="24"/>
          <w:szCs w:val="24"/>
          <w:lang w:val="en-GB"/>
        </w:rPr>
        <w:t xml:space="preserve">machine </w:t>
      </w:r>
      <w:r w:rsidRPr="00746D92">
        <w:rPr>
          <w:sz w:val="24"/>
          <w:szCs w:val="24"/>
          <w:lang w:val="en-GB"/>
        </w:rPr>
        <w:t xml:space="preserve">to </w:t>
      </w:r>
      <w:r>
        <w:rPr>
          <w:sz w:val="24"/>
          <w:szCs w:val="24"/>
          <w:lang w:val="en-GB"/>
        </w:rPr>
        <w:t xml:space="preserve">identify all the elements of a CC </w:t>
      </w:r>
      <w:r w:rsidRPr="00746D92">
        <w:rPr>
          <w:sz w:val="24"/>
          <w:szCs w:val="24"/>
          <w:lang w:val="en-GB"/>
        </w:rPr>
        <w:t>license</w:t>
      </w:r>
      <w:r>
        <w:rPr>
          <w:sz w:val="24"/>
          <w:szCs w:val="24"/>
          <w:lang w:val="en-GB"/>
        </w:rPr>
        <w:t>.</w:t>
      </w:r>
      <w:r w:rsidRPr="00FE5C39">
        <w:rPr>
          <w:rStyle w:val="Rimandonotaapidipagina"/>
          <w:sz w:val="24"/>
          <w:szCs w:val="24"/>
          <w:lang w:val="en-GB"/>
        </w:rPr>
        <w:footnoteReference w:id="78"/>
      </w:r>
      <w:r>
        <w:rPr>
          <w:sz w:val="24"/>
          <w:szCs w:val="24"/>
          <w:lang w:val="en-GB"/>
        </w:rPr>
        <w:t xml:space="preserve"> Furthermore, it is possible to add a </w:t>
      </w:r>
      <w:r w:rsidRPr="0093632E">
        <w:rPr>
          <w:sz w:val="24"/>
          <w:szCs w:val="24"/>
          <w:lang w:val="en-GB"/>
        </w:rPr>
        <w:t xml:space="preserve">CC+ protocol </w:t>
      </w:r>
      <w:r>
        <w:rPr>
          <w:sz w:val="24"/>
          <w:szCs w:val="24"/>
          <w:lang w:val="en-GB"/>
        </w:rPr>
        <w:t>indicating the willingness of the owner to grant authorizations to users beyond those</w:t>
      </w:r>
      <w:r w:rsidRPr="0093632E">
        <w:rPr>
          <w:sz w:val="24"/>
          <w:szCs w:val="24"/>
          <w:lang w:val="en-GB"/>
        </w:rPr>
        <w:t xml:space="preserve"> </w:t>
      </w:r>
      <w:r>
        <w:rPr>
          <w:sz w:val="24"/>
          <w:szCs w:val="24"/>
          <w:lang w:val="en-GB"/>
        </w:rPr>
        <w:t xml:space="preserve">provided by the standard </w:t>
      </w:r>
      <w:r w:rsidRPr="0093632E">
        <w:rPr>
          <w:sz w:val="24"/>
          <w:szCs w:val="24"/>
          <w:lang w:val="en-GB"/>
        </w:rPr>
        <w:t>CC license</w:t>
      </w:r>
      <w:r>
        <w:rPr>
          <w:sz w:val="24"/>
          <w:szCs w:val="24"/>
          <w:lang w:val="en-GB"/>
        </w:rPr>
        <w:t>, especially for commercial uses, and stating how such further permissions may be obtained</w:t>
      </w:r>
      <w:r w:rsidRPr="0093632E">
        <w:rPr>
          <w:sz w:val="24"/>
          <w:szCs w:val="24"/>
          <w:lang w:val="en-GB"/>
        </w:rPr>
        <w:t xml:space="preserve">. </w:t>
      </w:r>
    </w:p>
    <w:p w14:paraId="2AE4C6FF" w14:textId="044AB7E8" w:rsidR="00651F9B" w:rsidRDefault="00651F9B" w:rsidP="00651F9B">
      <w:pPr>
        <w:ind w:firstLine="397"/>
        <w:jc w:val="both"/>
        <w:rPr>
          <w:sz w:val="24"/>
          <w:szCs w:val="24"/>
          <w:lang w:val="en-GB"/>
        </w:rPr>
      </w:pPr>
      <w:r>
        <w:rPr>
          <w:sz w:val="24"/>
          <w:szCs w:val="24"/>
          <w:lang w:val="en-GB"/>
        </w:rPr>
        <w:t>Another element that may prove to be useful in reducing transaction costs and boosting the possibility of TDM and AI is the promotions of data pools.</w:t>
      </w:r>
      <w:r w:rsidRPr="00C2259A">
        <w:rPr>
          <w:rStyle w:val="Rimandonotaapidipagina"/>
          <w:sz w:val="24"/>
          <w:szCs w:val="24"/>
          <w:lang w:val="en-GB"/>
        </w:rPr>
        <w:footnoteReference w:id="79"/>
      </w:r>
      <w:r>
        <w:rPr>
          <w:sz w:val="24"/>
          <w:szCs w:val="24"/>
          <w:lang w:val="en-GB"/>
        </w:rPr>
        <w:t xml:space="preserve"> A</w:t>
      </w:r>
      <w:r w:rsidRPr="00C2259A">
        <w:rPr>
          <w:sz w:val="24"/>
          <w:szCs w:val="24"/>
          <w:lang w:val="en-GB"/>
        </w:rPr>
        <w:t xml:space="preserve"> potential</w:t>
      </w:r>
      <w:r>
        <w:rPr>
          <w:sz w:val="24"/>
          <w:szCs w:val="24"/>
          <w:lang w:val="en-GB"/>
        </w:rPr>
        <w:t xml:space="preserve"> miner may need to access many works or sets of works that belong to different right holders and are not free to mine. In these situations, the miner will have to request many licenses, an activity that may prove to be too burdensome in terms of time and costs. The creation of a sole set of works, aggregating the content of many right holders, would result in a “one-stop shop” for potential licensees.</w:t>
      </w:r>
      <w:r w:rsidRPr="00B269EB">
        <w:rPr>
          <w:rStyle w:val="Rimandonotaapidipagina"/>
          <w:sz w:val="24"/>
          <w:szCs w:val="24"/>
          <w:lang w:val="en-GB"/>
        </w:rPr>
        <w:footnoteReference w:id="80"/>
      </w:r>
      <w:r>
        <w:rPr>
          <w:sz w:val="24"/>
          <w:szCs w:val="24"/>
          <w:lang w:val="en-GB"/>
        </w:rPr>
        <w:t xml:space="preserve"> </w:t>
      </w:r>
      <w:r w:rsidR="00807E79">
        <w:rPr>
          <w:sz w:val="24"/>
          <w:szCs w:val="24"/>
          <w:lang w:val="en-GB"/>
        </w:rPr>
        <w:t>The possibility to license content for TDM would induce right holders to create high-quality data sets for commercialization and circulation</w:t>
      </w:r>
      <w:r>
        <w:rPr>
          <w:sz w:val="24"/>
          <w:szCs w:val="24"/>
          <w:lang w:val="en-GB"/>
        </w:rPr>
        <w:t xml:space="preserve">.  As a further step, they could be encouraged to create data pools that would be beneficial for themselves and for users. </w:t>
      </w:r>
    </w:p>
    <w:p w14:paraId="25B2DC3C" w14:textId="77777777" w:rsidR="00651F9B" w:rsidRDefault="00651F9B" w:rsidP="00651F9B">
      <w:pPr>
        <w:jc w:val="both"/>
        <w:rPr>
          <w:b/>
          <w:bCs/>
          <w:sz w:val="24"/>
          <w:szCs w:val="24"/>
          <w:lang w:val="en-GB"/>
        </w:rPr>
      </w:pPr>
      <w:r>
        <w:rPr>
          <w:b/>
          <w:bCs/>
          <w:sz w:val="24"/>
          <w:szCs w:val="24"/>
          <w:lang w:val="en-GB"/>
        </w:rPr>
        <w:t xml:space="preserve">      </w:t>
      </w:r>
      <w:r w:rsidRPr="00504BCD">
        <w:rPr>
          <w:b/>
          <w:bCs/>
          <w:sz w:val="24"/>
          <w:szCs w:val="24"/>
          <w:lang w:val="en-GB"/>
        </w:rPr>
        <w:t>7. Conclusions</w:t>
      </w:r>
    </w:p>
    <w:p w14:paraId="59B7BB18" w14:textId="77777777" w:rsidR="00651F9B" w:rsidRPr="00C2259A" w:rsidRDefault="00651F9B" w:rsidP="00651F9B">
      <w:pPr>
        <w:ind w:firstLine="340"/>
        <w:jc w:val="both"/>
        <w:rPr>
          <w:b/>
          <w:bCs/>
          <w:sz w:val="24"/>
          <w:szCs w:val="24"/>
          <w:lang w:val="en-GB"/>
        </w:rPr>
      </w:pPr>
      <w:r>
        <w:rPr>
          <w:sz w:val="24"/>
          <w:szCs w:val="24"/>
          <w:lang w:val="en-GB"/>
        </w:rPr>
        <w:t>Recently, on 19 February 2020, the European Union published its “European strategy for data”,</w:t>
      </w:r>
      <w:r>
        <w:rPr>
          <w:rStyle w:val="Rimandonotaapidipagina"/>
          <w:sz w:val="24"/>
          <w:szCs w:val="24"/>
          <w:lang w:val="en-GB"/>
        </w:rPr>
        <w:footnoteReference w:id="81"/>
      </w:r>
      <w:r>
        <w:rPr>
          <w:sz w:val="24"/>
          <w:szCs w:val="24"/>
          <w:lang w:val="en-GB"/>
        </w:rPr>
        <w:t xml:space="preserve"> the same day as a White Paper on Artificial Intelligence was released</w:t>
      </w:r>
      <w:r>
        <w:rPr>
          <w:rStyle w:val="Rimandonotaapidipagina"/>
          <w:sz w:val="24"/>
          <w:szCs w:val="24"/>
          <w:lang w:val="en-GB"/>
        </w:rPr>
        <w:footnoteReference w:id="82"/>
      </w:r>
      <w:r>
        <w:rPr>
          <w:sz w:val="24"/>
          <w:szCs w:val="24"/>
          <w:lang w:val="en-GB"/>
        </w:rPr>
        <w:t xml:space="preserve">. In these documents the link between access to data and the development of AI is clearly stressed. Although there is no explicit mention of the conflict between materials covered by IP rights, on the one hand, and TDM techniques and the training of AI systems, on the other, this is an important issue when it comes to </w:t>
      </w:r>
      <w:r>
        <w:rPr>
          <w:sz w:val="24"/>
          <w:szCs w:val="24"/>
          <w:lang w:val="en-GB"/>
        </w:rPr>
        <w:lastRenderedPageBreak/>
        <w:t>enhancing a data-driven economy. A problem that is more clearly underlined in other important documents, such as the already mentioned “</w:t>
      </w:r>
      <w:r w:rsidRPr="005C7A0E">
        <w:rPr>
          <w:sz w:val="24"/>
          <w:szCs w:val="24"/>
          <w:lang w:val="en-GB"/>
        </w:rPr>
        <w:t>D</w:t>
      </w:r>
      <w:r>
        <w:rPr>
          <w:sz w:val="24"/>
          <w:szCs w:val="24"/>
          <w:lang w:val="en-GB"/>
        </w:rPr>
        <w:t xml:space="preserve">raft issues paper on intellectual property policy and artificial intelligence”, published by WIPO. </w:t>
      </w:r>
    </w:p>
    <w:p w14:paraId="789164A0" w14:textId="77777777" w:rsidR="00651F9B" w:rsidRDefault="00651F9B" w:rsidP="00651F9B">
      <w:pPr>
        <w:ind w:firstLine="397"/>
        <w:jc w:val="both"/>
        <w:rPr>
          <w:sz w:val="24"/>
          <w:szCs w:val="24"/>
          <w:lang w:val="en-GB"/>
        </w:rPr>
      </w:pPr>
      <w:r w:rsidRPr="00B269EB">
        <w:rPr>
          <w:sz w:val="24"/>
          <w:szCs w:val="24"/>
          <w:lang w:val="en-GB"/>
        </w:rPr>
        <w:t>Art</w:t>
      </w:r>
      <w:r>
        <w:rPr>
          <w:sz w:val="24"/>
          <w:szCs w:val="24"/>
          <w:lang w:val="en-GB"/>
        </w:rPr>
        <w:t>s</w:t>
      </w:r>
      <w:r w:rsidRPr="00B269EB">
        <w:rPr>
          <w:sz w:val="24"/>
          <w:szCs w:val="24"/>
          <w:lang w:val="en-GB"/>
        </w:rPr>
        <w:t xml:space="preserve">. 3 and 4 of the DSM Directive introduce two exceptions for text data mining, </w:t>
      </w:r>
      <w:proofErr w:type="gramStart"/>
      <w:r>
        <w:rPr>
          <w:sz w:val="24"/>
          <w:szCs w:val="24"/>
          <w:lang w:val="en-GB"/>
        </w:rPr>
        <w:t>in an attempt to</w:t>
      </w:r>
      <w:proofErr w:type="gramEnd"/>
      <w:r>
        <w:rPr>
          <w:sz w:val="24"/>
          <w:szCs w:val="24"/>
          <w:lang w:val="en-GB"/>
        </w:rPr>
        <w:t xml:space="preserve"> </w:t>
      </w:r>
      <w:r w:rsidRPr="00B269EB">
        <w:rPr>
          <w:sz w:val="24"/>
          <w:szCs w:val="24"/>
          <w:lang w:val="en-GB"/>
        </w:rPr>
        <w:t>clarify and solve the issue. This intervention has the positive effect of</w:t>
      </w:r>
      <w:r>
        <w:rPr>
          <w:sz w:val="24"/>
          <w:szCs w:val="24"/>
          <w:lang w:val="en-GB"/>
        </w:rPr>
        <w:t xml:space="preserve"> </w:t>
      </w:r>
      <w:r w:rsidRPr="00B269EB">
        <w:rPr>
          <w:sz w:val="24"/>
          <w:szCs w:val="24"/>
          <w:lang w:val="en-GB"/>
        </w:rPr>
        <w:t>harmoni</w:t>
      </w:r>
      <w:r>
        <w:rPr>
          <w:sz w:val="24"/>
          <w:szCs w:val="24"/>
          <w:lang w:val="en-GB"/>
        </w:rPr>
        <w:t>zing measures</w:t>
      </w:r>
      <w:r w:rsidRPr="00B269EB">
        <w:rPr>
          <w:sz w:val="24"/>
          <w:szCs w:val="24"/>
          <w:lang w:val="en-GB"/>
        </w:rPr>
        <w:t xml:space="preserve"> among all the Member States </w:t>
      </w:r>
      <w:r>
        <w:rPr>
          <w:sz w:val="24"/>
          <w:szCs w:val="24"/>
          <w:lang w:val="en-GB"/>
        </w:rPr>
        <w:t xml:space="preserve">by </w:t>
      </w:r>
      <w:r w:rsidRPr="00B269EB">
        <w:rPr>
          <w:sz w:val="24"/>
          <w:szCs w:val="24"/>
          <w:lang w:val="en-GB"/>
        </w:rPr>
        <w:t xml:space="preserve">imposing the exceptions as mandatory. However, the complex framework deriving from the reform may not solve the issue of legal certainty. </w:t>
      </w:r>
    </w:p>
    <w:p w14:paraId="7CCE5751" w14:textId="535C087C" w:rsidR="00651F9B" w:rsidRDefault="00651F9B" w:rsidP="00651F9B">
      <w:pPr>
        <w:ind w:firstLine="397"/>
        <w:jc w:val="both"/>
        <w:rPr>
          <w:b/>
          <w:bCs/>
          <w:sz w:val="24"/>
          <w:szCs w:val="24"/>
          <w:lang w:val="en-GB"/>
        </w:rPr>
      </w:pPr>
      <w:r>
        <w:rPr>
          <w:sz w:val="24"/>
          <w:szCs w:val="24"/>
          <w:lang w:val="en-GB"/>
        </w:rPr>
        <w:t>A key</w:t>
      </w:r>
      <w:r w:rsidRPr="00B269EB">
        <w:rPr>
          <w:sz w:val="24"/>
          <w:szCs w:val="24"/>
          <w:lang w:val="en-GB"/>
        </w:rPr>
        <w:t xml:space="preserve"> element</w:t>
      </w:r>
      <w:r>
        <w:rPr>
          <w:sz w:val="24"/>
          <w:szCs w:val="24"/>
          <w:lang w:val="en-GB"/>
        </w:rPr>
        <w:t xml:space="preserve"> of the reform</w:t>
      </w:r>
      <w:r w:rsidRPr="00B269EB">
        <w:rPr>
          <w:sz w:val="24"/>
          <w:szCs w:val="24"/>
          <w:lang w:val="en-GB"/>
        </w:rPr>
        <w:t xml:space="preserve"> is the opt-out system provided by </w:t>
      </w:r>
      <w:r>
        <w:rPr>
          <w:sz w:val="24"/>
          <w:szCs w:val="24"/>
          <w:lang w:val="en-GB"/>
        </w:rPr>
        <w:t>A</w:t>
      </w:r>
      <w:r w:rsidRPr="00B269EB">
        <w:rPr>
          <w:sz w:val="24"/>
          <w:szCs w:val="24"/>
          <w:lang w:val="en-GB"/>
        </w:rPr>
        <w:t>rt. 4</w:t>
      </w:r>
      <w:r>
        <w:rPr>
          <w:sz w:val="24"/>
          <w:szCs w:val="24"/>
          <w:lang w:val="en-GB"/>
        </w:rPr>
        <w:t>,</w:t>
      </w:r>
      <w:r w:rsidRPr="00B269EB">
        <w:rPr>
          <w:sz w:val="24"/>
          <w:szCs w:val="24"/>
          <w:lang w:val="en-GB"/>
        </w:rPr>
        <w:t xml:space="preserve"> which </w:t>
      </w:r>
      <w:r>
        <w:rPr>
          <w:sz w:val="24"/>
          <w:szCs w:val="24"/>
          <w:lang w:val="en-GB"/>
        </w:rPr>
        <w:t xml:space="preserve">regulates TDM by imposing formalities on right holders, thus creating an interesting paradigm for access to data but, at the same time, </w:t>
      </w:r>
      <w:r w:rsidRPr="00B269EB">
        <w:rPr>
          <w:sz w:val="24"/>
          <w:szCs w:val="24"/>
          <w:lang w:val="en-GB"/>
        </w:rPr>
        <w:t>allow</w:t>
      </w:r>
      <w:r>
        <w:rPr>
          <w:sz w:val="24"/>
          <w:szCs w:val="24"/>
          <w:lang w:val="en-GB"/>
        </w:rPr>
        <w:t>ing</w:t>
      </w:r>
      <w:r w:rsidRPr="00B269EB">
        <w:rPr>
          <w:sz w:val="24"/>
          <w:szCs w:val="24"/>
          <w:lang w:val="en-GB"/>
        </w:rPr>
        <w:t xml:space="preserve"> right holder</w:t>
      </w:r>
      <w:r>
        <w:rPr>
          <w:sz w:val="24"/>
          <w:szCs w:val="24"/>
          <w:lang w:val="en-GB"/>
        </w:rPr>
        <w:t>s</w:t>
      </w:r>
      <w:r w:rsidRPr="00B269EB">
        <w:rPr>
          <w:sz w:val="24"/>
          <w:szCs w:val="24"/>
          <w:lang w:val="en-GB"/>
        </w:rPr>
        <w:t xml:space="preserve"> to reserve the right to mine and </w:t>
      </w:r>
      <w:r>
        <w:rPr>
          <w:sz w:val="24"/>
          <w:szCs w:val="24"/>
          <w:lang w:val="en-GB"/>
        </w:rPr>
        <w:t>possibly</w:t>
      </w:r>
      <w:r w:rsidRPr="00B269EB">
        <w:rPr>
          <w:sz w:val="24"/>
          <w:szCs w:val="24"/>
          <w:lang w:val="en-GB"/>
        </w:rPr>
        <w:t xml:space="preserve"> to license the</w:t>
      </w:r>
      <w:r>
        <w:rPr>
          <w:sz w:val="24"/>
          <w:szCs w:val="24"/>
          <w:lang w:val="en-GB"/>
        </w:rPr>
        <w:t>ir</w:t>
      </w:r>
      <w:r w:rsidRPr="00B269EB">
        <w:rPr>
          <w:sz w:val="24"/>
          <w:szCs w:val="24"/>
          <w:lang w:val="en-GB"/>
        </w:rPr>
        <w:t xml:space="preserve"> content for this purpose</w:t>
      </w:r>
      <w:r w:rsidRPr="00C7000A">
        <w:rPr>
          <w:sz w:val="24"/>
          <w:szCs w:val="24"/>
          <w:lang w:val="en-GB"/>
        </w:rPr>
        <w:t xml:space="preserve">. Establishing a legitimate market for TDM may have the beneficial effect of encouraging right holders to create </w:t>
      </w:r>
      <w:r w:rsidR="00C7000A" w:rsidRPr="00C7000A">
        <w:rPr>
          <w:sz w:val="24"/>
          <w:szCs w:val="24"/>
          <w:lang w:val="en-GB"/>
        </w:rPr>
        <w:t>high-quality</w:t>
      </w:r>
      <w:r w:rsidRPr="00C7000A">
        <w:rPr>
          <w:sz w:val="24"/>
          <w:szCs w:val="24"/>
          <w:lang w:val="en-GB"/>
        </w:rPr>
        <w:t xml:space="preserve"> data sets. From this point of view, it may be an incentive to innovation. On the other hand, this system may</w:t>
      </w:r>
      <w:r w:rsidRPr="00B269EB">
        <w:rPr>
          <w:sz w:val="24"/>
          <w:szCs w:val="24"/>
          <w:lang w:val="en-GB"/>
        </w:rPr>
        <w:t xml:space="preserve"> </w:t>
      </w:r>
      <w:r>
        <w:rPr>
          <w:sz w:val="24"/>
          <w:szCs w:val="24"/>
          <w:lang w:val="en-GB"/>
        </w:rPr>
        <w:t xml:space="preserve">give rise to excessive </w:t>
      </w:r>
      <w:r w:rsidRPr="00B269EB">
        <w:rPr>
          <w:sz w:val="24"/>
          <w:szCs w:val="24"/>
          <w:lang w:val="en-GB"/>
        </w:rPr>
        <w:t xml:space="preserve">transaction costs for miners, especially start-ups and SMEs, </w:t>
      </w:r>
      <w:r>
        <w:rPr>
          <w:sz w:val="24"/>
          <w:szCs w:val="24"/>
          <w:lang w:val="en-GB"/>
        </w:rPr>
        <w:t xml:space="preserve">acting as </w:t>
      </w:r>
      <w:r w:rsidRPr="00B269EB">
        <w:rPr>
          <w:sz w:val="24"/>
          <w:szCs w:val="24"/>
          <w:lang w:val="en-GB"/>
        </w:rPr>
        <w:t xml:space="preserve">an obstacle </w:t>
      </w:r>
      <w:r>
        <w:rPr>
          <w:sz w:val="24"/>
          <w:szCs w:val="24"/>
          <w:lang w:val="en-GB"/>
        </w:rPr>
        <w:t>to</w:t>
      </w:r>
      <w:r w:rsidRPr="00B269EB">
        <w:rPr>
          <w:sz w:val="24"/>
          <w:szCs w:val="24"/>
          <w:lang w:val="en-GB"/>
        </w:rPr>
        <w:t xml:space="preserve"> their activities and </w:t>
      </w:r>
      <w:r>
        <w:rPr>
          <w:sz w:val="24"/>
          <w:szCs w:val="24"/>
          <w:lang w:val="en-GB"/>
        </w:rPr>
        <w:t>so hindering</w:t>
      </w:r>
      <w:r w:rsidRPr="00B269EB">
        <w:rPr>
          <w:sz w:val="24"/>
          <w:szCs w:val="24"/>
          <w:lang w:val="en-GB"/>
        </w:rPr>
        <w:t xml:space="preserve"> their access to data and </w:t>
      </w:r>
      <w:r>
        <w:rPr>
          <w:sz w:val="24"/>
          <w:szCs w:val="24"/>
          <w:lang w:val="en-GB"/>
        </w:rPr>
        <w:t xml:space="preserve">undermining </w:t>
      </w:r>
      <w:r w:rsidRPr="00B269EB">
        <w:rPr>
          <w:sz w:val="24"/>
          <w:szCs w:val="24"/>
          <w:lang w:val="en-GB"/>
        </w:rPr>
        <w:t>their role in a data-driven economy.</w:t>
      </w:r>
      <w:r>
        <w:rPr>
          <w:sz w:val="24"/>
          <w:szCs w:val="24"/>
          <w:lang w:val="en-GB"/>
        </w:rPr>
        <w:t xml:space="preserve"> </w:t>
      </w:r>
    </w:p>
    <w:p w14:paraId="12F8AEBF" w14:textId="77777777" w:rsidR="00651F9B" w:rsidRDefault="00651F9B" w:rsidP="00651F9B">
      <w:pPr>
        <w:jc w:val="center"/>
        <w:rPr>
          <w:b/>
          <w:bCs/>
          <w:sz w:val="24"/>
          <w:szCs w:val="24"/>
          <w:lang w:val="en-GB"/>
        </w:rPr>
      </w:pPr>
    </w:p>
    <w:p w14:paraId="695493A6" w14:textId="77777777" w:rsidR="00651F9B" w:rsidRPr="003347C9" w:rsidRDefault="00651F9B" w:rsidP="00651F9B">
      <w:pPr>
        <w:jc w:val="center"/>
        <w:rPr>
          <w:b/>
          <w:bCs/>
          <w:sz w:val="28"/>
          <w:szCs w:val="28"/>
          <w:lang w:val="en-GB"/>
        </w:rPr>
      </w:pPr>
      <w:r w:rsidRPr="003347C9">
        <w:rPr>
          <w:b/>
          <w:bCs/>
          <w:sz w:val="28"/>
          <w:szCs w:val="28"/>
          <w:lang w:val="en-GB"/>
        </w:rPr>
        <w:t>B</w:t>
      </w:r>
      <w:r>
        <w:rPr>
          <w:b/>
          <w:bCs/>
          <w:sz w:val="28"/>
          <w:szCs w:val="28"/>
          <w:lang w:val="en-GB"/>
        </w:rPr>
        <w:t>ibliography</w:t>
      </w:r>
    </w:p>
    <w:p w14:paraId="6CB14555" w14:textId="77777777" w:rsidR="00651F9B" w:rsidRPr="0018647A" w:rsidRDefault="00651F9B" w:rsidP="00651F9B">
      <w:pPr>
        <w:jc w:val="both"/>
        <w:rPr>
          <w:b/>
          <w:bCs/>
          <w:sz w:val="24"/>
          <w:szCs w:val="24"/>
          <w:lang w:val="en-GB"/>
        </w:rPr>
      </w:pPr>
      <w:r w:rsidRPr="0018647A">
        <w:rPr>
          <w:b/>
          <w:bCs/>
          <w:sz w:val="24"/>
          <w:szCs w:val="24"/>
          <w:lang w:val="en-GB"/>
        </w:rPr>
        <w:t>Books</w:t>
      </w:r>
    </w:p>
    <w:p w14:paraId="67BDBBA6" w14:textId="77777777" w:rsidR="00651F9B" w:rsidRPr="0018647A" w:rsidRDefault="00651F9B" w:rsidP="00651F9B">
      <w:pPr>
        <w:pStyle w:val="Testonotaapidipagina"/>
        <w:numPr>
          <w:ilvl w:val="0"/>
          <w:numId w:val="15"/>
        </w:numPr>
        <w:jc w:val="both"/>
        <w:rPr>
          <w:sz w:val="24"/>
          <w:szCs w:val="24"/>
          <w:lang w:val="en-GB"/>
        </w:rPr>
      </w:pPr>
      <w:proofErr w:type="spellStart"/>
      <w:r w:rsidRPr="0018647A">
        <w:rPr>
          <w:smallCaps/>
          <w:sz w:val="24"/>
          <w:szCs w:val="24"/>
          <w:lang w:val="en-GB"/>
        </w:rPr>
        <w:t>Borghi</w:t>
      </w:r>
      <w:proofErr w:type="spellEnd"/>
      <w:r>
        <w:rPr>
          <w:smallCaps/>
          <w:sz w:val="24"/>
          <w:szCs w:val="24"/>
          <w:lang w:val="en-GB"/>
        </w:rPr>
        <w:t xml:space="preserve"> M.</w:t>
      </w:r>
      <w:r w:rsidRPr="0018647A">
        <w:rPr>
          <w:sz w:val="24"/>
          <w:szCs w:val="24"/>
          <w:lang w:val="en-GB"/>
        </w:rPr>
        <w:t xml:space="preserve">, </w:t>
      </w:r>
      <w:proofErr w:type="spellStart"/>
      <w:r w:rsidRPr="0018647A">
        <w:rPr>
          <w:sz w:val="24"/>
          <w:szCs w:val="24"/>
          <w:lang w:val="en-GB"/>
        </w:rPr>
        <w:t>K</w:t>
      </w:r>
      <w:r w:rsidRPr="0018647A">
        <w:rPr>
          <w:smallCaps/>
          <w:sz w:val="24"/>
          <w:szCs w:val="24"/>
          <w:lang w:val="en-GB"/>
        </w:rPr>
        <w:t>arapapa</w:t>
      </w:r>
      <w:proofErr w:type="spellEnd"/>
      <w:r>
        <w:rPr>
          <w:smallCaps/>
          <w:sz w:val="24"/>
          <w:szCs w:val="24"/>
          <w:lang w:val="en-GB"/>
        </w:rPr>
        <w:t xml:space="preserve"> S.</w:t>
      </w:r>
      <w:r w:rsidRPr="0018647A">
        <w:rPr>
          <w:sz w:val="24"/>
          <w:szCs w:val="24"/>
          <w:lang w:val="en-GB"/>
        </w:rPr>
        <w:t xml:space="preserve">, </w:t>
      </w:r>
      <w:r w:rsidRPr="0018647A">
        <w:rPr>
          <w:i/>
          <w:iCs/>
          <w:sz w:val="24"/>
          <w:szCs w:val="24"/>
          <w:lang w:val="en-GB"/>
        </w:rPr>
        <w:t>Copyright and Mass Digitization</w:t>
      </w:r>
      <w:r w:rsidRPr="0018647A">
        <w:rPr>
          <w:sz w:val="24"/>
          <w:szCs w:val="24"/>
          <w:lang w:val="en-GB"/>
        </w:rPr>
        <w:t>, Oxford University Press, 2013</w:t>
      </w:r>
      <w:r>
        <w:rPr>
          <w:sz w:val="24"/>
          <w:szCs w:val="24"/>
          <w:lang w:val="en-GB"/>
        </w:rPr>
        <w:t>.</w:t>
      </w:r>
    </w:p>
    <w:p w14:paraId="74D4AD30" w14:textId="77777777" w:rsidR="00651F9B" w:rsidRPr="0018647A" w:rsidRDefault="00651F9B" w:rsidP="00651F9B">
      <w:pPr>
        <w:pStyle w:val="Testonotaapidipagina"/>
        <w:ind w:left="360"/>
        <w:jc w:val="both"/>
        <w:rPr>
          <w:sz w:val="24"/>
          <w:szCs w:val="24"/>
          <w:lang w:val="en-GB"/>
        </w:rPr>
      </w:pPr>
    </w:p>
    <w:p w14:paraId="1E04FB22" w14:textId="77777777" w:rsidR="00651F9B" w:rsidRPr="0018647A" w:rsidRDefault="00651F9B" w:rsidP="00651F9B">
      <w:pPr>
        <w:pStyle w:val="Testonotaapidipagina"/>
        <w:numPr>
          <w:ilvl w:val="0"/>
          <w:numId w:val="15"/>
        </w:numPr>
        <w:jc w:val="both"/>
        <w:rPr>
          <w:sz w:val="24"/>
          <w:szCs w:val="24"/>
          <w:lang w:val="en-GB"/>
        </w:rPr>
      </w:pPr>
      <w:r w:rsidRPr="0018647A">
        <w:rPr>
          <w:smallCaps/>
          <w:sz w:val="24"/>
          <w:szCs w:val="24"/>
          <w:lang w:val="en-GB"/>
        </w:rPr>
        <w:t>Lopez-</w:t>
      </w:r>
      <w:proofErr w:type="spellStart"/>
      <w:r w:rsidRPr="0018647A">
        <w:rPr>
          <w:smallCaps/>
          <w:sz w:val="24"/>
          <w:szCs w:val="24"/>
          <w:lang w:val="en-GB"/>
        </w:rPr>
        <w:t>Tarruella</w:t>
      </w:r>
      <w:proofErr w:type="spellEnd"/>
      <w:r>
        <w:rPr>
          <w:smallCaps/>
          <w:sz w:val="24"/>
          <w:szCs w:val="24"/>
          <w:lang w:val="en-GB"/>
        </w:rPr>
        <w:t xml:space="preserve"> </w:t>
      </w:r>
      <w:r w:rsidRPr="0018647A">
        <w:rPr>
          <w:sz w:val="24"/>
          <w:szCs w:val="24"/>
          <w:lang w:val="en-GB"/>
        </w:rPr>
        <w:t>A.</w:t>
      </w:r>
      <w:r w:rsidRPr="0018647A">
        <w:rPr>
          <w:smallCaps/>
          <w:sz w:val="24"/>
          <w:szCs w:val="24"/>
          <w:lang w:val="en-GB"/>
        </w:rPr>
        <w:t>,</w:t>
      </w:r>
      <w:r w:rsidRPr="0018647A">
        <w:rPr>
          <w:sz w:val="24"/>
          <w:szCs w:val="24"/>
          <w:lang w:val="en-GB"/>
        </w:rPr>
        <w:t xml:space="preserve"> </w:t>
      </w:r>
      <w:r w:rsidRPr="0018647A">
        <w:rPr>
          <w:i/>
          <w:iCs/>
          <w:sz w:val="24"/>
          <w:szCs w:val="24"/>
          <w:lang w:val="en-GB"/>
        </w:rPr>
        <w:t xml:space="preserve">Google and the Law: Empirical Approaches to Legal Aspects of Knowledge-Economy Business Models, </w:t>
      </w:r>
      <w:r w:rsidRPr="0018647A">
        <w:rPr>
          <w:sz w:val="24"/>
          <w:szCs w:val="24"/>
          <w:lang w:val="en-GB"/>
        </w:rPr>
        <w:t>Springer, 2012</w:t>
      </w:r>
      <w:r>
        <w:rPr>
          <w:sz w:val="24"/>
          <w:szCs w:val="24"/>
          <w:lang w:val="en-GB"/>
        </w:rPr>
        <w:t>.</w:t>
      </w:r>
    </w:p>
    <w:p w14:paraId="40230205" w14:textId="77777777" w:rsidR="00651F9B" w:rsidRPr="0018647A" w:rsidRDefault="00651F9B" w:rsidP="00651F9B">
      <w:pPr>
        <w:pStyle w:val="Paragrafoelenco"/>
        <w:ind w:left="360"/>
        <w:rPr>
          <w:sz w:val="24"/>
          <w:szCs w:val="24"/>
          <w:lang w:val="en-GB"/>
        </w:rPr>
      </w:pPr>
    </w:p>
    <w:p w14:paraId="1A115C46" w14:textId="77777777" w:rsidR="00651F9B" w:rsidRPr="0018647A" w:rsidRDefault="00651F9B" w:rsidP="00651F9B">
      <w:pPr>
        <w:pStyle w:val="Paragrafoelenco"/>
        <w:numPr>
          <w:ilvl w:val="0"/>
          <w:numId w:val="15"/>
        </w:numPr>
        <w:rPr>
          <w:sz w:val="24"/>
          <w:szCs w:val="24"/>
        </w:rPr>
      </w:pPr>
      <w:r w:rsidRPr="0018647A">
        <w:rPr>
          <w:smallCaps/>
          <w:sz w:val="24"/>
          <w:szCs w:val="24"/>
        </w:rPr>
        <w:t>Ottolia</w:t>
      </w:r>
      <w:r>
        <w:rPr>
          <w:smallCaps/>
          <w:sz w:val="24"/>
          <w:szCs w:val="24"/>
        </w:rPr>
        <w:t xml:space="preserve"> </w:t>
      </w:r>
      <w:r w:rsidRPr="0018647A">
        <w:rPr>
          <w:sz w:val="24"/>
          <w:szCs w:val="24"/>
        </w:rPr>
        <w:t>A.</w:t>
      </w:r>
      <w:r w:rsidRPr="0018647A">
        <w:rPr>
          <w:smallCaps/>
          <w:sz w:val="24"/>
          <w:szCs w:val="24"/>
        </w:rPr>
        <w:t>,</w:t>
      </w:r>
      <w:r w:rsidRPr="0018647A">
        <w:rPr>
          <w:sz w:val="24"/>
          <w:szCs w:val="24"/>
        </w:rPr>
        <w:t xml:space="preserve"> </w:t>
      </w:r>
      <w:r w:rsidRPr="0018647A">
        <w:rPr>
          <w:i/>
          <w:iCs/>
          <w:sz w:val="24"/>
          <w:szCs w:val="24"/>
        </w:rPr>
        <w:t>Big Data e Innovazione Computazionale</w:t>
      </w:r>
      <w:r w:rsidRPr="0018647A">
        <w:rPr>
          <w:sz w:val="24"/>
          <w:szCs w:val="24"/>
        </w:rPr>
        <w:t>, Giappichelli, 2017</w:t>
      </w:r>
      <w:r>
        <w:rPr>
          <w:sz w:val="24"/>
          <w:szCs w:val="24"/>
        </w:rPr>
        <w:t>.</w:t>
      </w:r>
    </w:p>
    <w:p w14:paraId="270DB6D5" w14:textId="77777777" w:rsidR="00651F9B" w:rsidRPr="0018647A" w:rsidRDefault="00651F9B" w:rsidP="00651F9B">
      <w:pPr>
        <w:pStyle w:val="Paragrafoelenco"/>
        <w:ind w:left="360"/>
        <w:rPr>
          <w:sz w:val="24"/>
          <w:szCs w:val="24"/>
        </w:rPr>
      </w:pPr>
    </w:p>
    <w:p w14:paraId="542BD535" w14:textId="77777777" w:rsidR="00651F9B" w:rsidRPr="0018647A" w:rsidRDefault="00651F9B" w:rsidP="00651F9B">
      <w:pPr>
        <w:jc w:val="both"/>
        <w:rPr>
          <w:b/>
          <w:bCs/>
          <w:sz w:val="24"/>
          <w:szCs w:val="24"/>
          <w:lang w:val="en-GB"/>
        </w:rPr>
      </w:pPr>
      <w:r>
        <w:rPr>
          <w:b/>
          <w:bCs/>
          <w:sz w:val="24"/>
          <w:szCs w:val="24"/>
          <w:lang w:val="en-GB"/>
        </w:rPr>
        <w:t>E</w:t>
      </w:r>
      <w:r w:rsidRPr="0018647A">
        <w:rPr>
          <w:b/>
          <w:bCs/>
          <w:sz w:val="24"/>
          <w:szCs w:val="24"/>
          <w:lang w:val="en-GB"/>
        </w:rPr>
        <w:t>ssays</w:t>
      </w:r>
      <w:r>
        <w:rPr>
          <w:b/>
          <w:bCs/>
          <w:sz w:val="24"/>
          <w:szCs w:val="24"/>
          <w:lang w:val="en-GB"/>
        </w:rPr>
        <w:t xml:space="preserve">, </w:t>
      </w:r>
      <w:r w:rsidRPr="0018647A">
        <w:rPr>
          <w:b/>
          <w:bCs/>
          <w:sz w:val="24"/>
          <w:szCs w:val="24"/>
          <w:lang w:val="en-GB"/>
        </w:rPr>
        <w:t xml:space="preserve">white </w:t>
      </w:r>
      <w:proofErr w:type="gramStart"/>
      <w:r w:rsidRPr="0018647A">
        <w:rPr>
          <w:b/>
          <w:bCs/>
          <w:sz w:val="24"/>
          <w:szCs w:val="24"/>
          <w:lang w:val="en-GB"/>
        </w:rPr>
        <w:t>papers</w:t>
      </w:r>
      <w:proofErr w:type="gramEnd"/>
      <w:r>
        <w:rPr>
          <w:b/>
          <w:bCs/>
          <w:sz w:val="24"/>
          <w:szCs w:val="24"/>
          <w:lang w:val="en-GB"/>
        </w:rPr>
        <w:t xml:space="preserve"> and reports </w:t>
      </w:r>
    </w:p>
    <w:p w14:paraId="309F2533" w14:textId="77777777" w:rsidR="00651F9B" w:rsidRPr="0018647A" w:rsidRDefault="00651F9B" w:rsidP="00651F9B">
      <w:pPr>
        <w:pStyle w:val="Testonotaapidipagina"/>
        <w:numPr>
          <w:ilvl w:val="0"/>
          <w:numId w:val="15"/>
        </w:numPr>
        <w:jc w:val="both"/>
        <w:rPr>
          <w:sz w:val="24"/>
          <w:szCs w:val="24"/>
          <w:lang w:val="en-GB"/>
        </w:rPr>
      </w:pPr>
      <w:r w:rsidRPr="0018647A">
        <w:rPr>
          <w:sz w:val="24"/>
          <w:szCs w:val="24"/>
          <w:lang w:val="en-GB"/>
        </w:rPr>
        <w:t xml:space="preserve">AI-HTEG, </w:t>
      </w:r>
      <w:r w:rsidRPr="0018647A">
        <w:rPr>
          <w:i/>
          <w:iCs/>
          <w:sz w:val="24"/>
          <w:szCs w:val="24"/>
          <w:lang w:val="en-GB"/>
        </w:rPr>
        <w:t xml:space="preserve">A definition of AI: Main capabilities and scientific disciplines, </w:t>
      </w:r>
      <w:r w:rsidRPr="0018647A">
        <w:rPr>
          <w:sz w:val="24"/>
          <w:szCs w:val="24"/>
          <w:lang w:val="en-GB"/>
        </w:rPr>
        <w:t xml:space="preserve">B-1049 Brussels, </w:t>
      </w:r>
      <w:r>
        <w:rPr>
          <w:sz w:val="24"/>
          <w:szCs w:val="24"/>
          <w:lang w:val="en-GB"/>
        </w:rPr>
        <w:t xml:space="preserve">8 </w:t>
      </w:r>
      <w:r w:rsidRPr="0018647A">
        <w:rPr>
          <w:sz w:val="24"/>
          <w:szCs w:val="24"/>
          <w:lang w:val="en-GB"/>
        </w:rPr>
        <w:t>April 2019</w:t>
      </w:r>
      <w:r>
        <w:rPr>
          <w:sz w:val="24"/>
          <w:szCs w:val="24"/>
          <w:lang w:val="en-GB"/>
        </w:rPr>
        <w:t>.</w:t>
      </w:r>
    </w:p>
    <w:p w14:paraId="6462F249" w14:textId="77777777" w:rsidR="00651F9B" w:rsidRDefault="00651F9B" w:rsidP="00651F9B">
      <w:pPr>
        <w:pStyle w:val="Testonotaapidipagina"/>
        <w:ind w:left="360"/>
        <w:jc w:val="both"/>
        <w:rPr>
          <w:sz w:val="24"/>
          <w:szCs w:val="24"/>
          <w:lang w:val="en-GB"/>
        </w:rPr>
      </w:pPr>
    </w:p>
    <w:p w14:paraId="42F5D5C7" w14:textId="77777777" w:rsidR="00651F9B" w:rsidRPr="0018647A" w:rsidRDefault="00651F9B" w:rsidP="00651F9B">
      <w:pPr>
        <w:pStyle w:val="Testonotaapidipagina"/>
        <w:numPr>
          <w:ilvl w:val="0"/>
          <w:numId w:val="15"/>
        </w:numPr>
        <w:jc w:val="both"/>
        <w:rPr>
          <w:sz w:val="24"/>
          <w:szCs w:val="24"/>
          <w:lang w:val="en-GB"/>
        </w:rPr>
      </w:pPr>
      <w:r w:rsidRPr="0018647A">
        <w:rPr>
          <w:smallCaps/>
          <w:sz w:val="24"/>
          <w:szCs w:val="24"/>
          <w:lang w:val="en-GB"/>
        </w:rPr>
        <w:t>Allgrove</w:t>
      </w:r>
      <w:r w:rsidRPr="007132B8">
        <w:rPr>
          <w:sz w:val="24"/>
          <w:szCs w:val="24"/>
          <w:lang w:val="en-GB"/>
        </w:rPr>
        <w:t xml:space="preserve"> </w:t>
      </w:r>
      <w:r w:rsidRPr="0018647A">
        <w:rPr>
          <w:sz w:val="24"/>
          <w:szCs w:val="24"/>
          <w:lang w:val="en-GB"/>
        </w:rPr>
        <w:t xml:space="preserve">B., </w:t>
      </w:r>
      <w:r w:rsidRPr="0018647A">
        <w:rPr>
          <w:i/>
          <w:iCs/>
          <w:sz w:val="24"/>
          <w:szCs w:val="24"/>
          <w:lang w:val="en-GB"/>
        </w:rPr>
        <w:t xml:space="preserve">The search engine’s dilemma: implied licence to crawl and </w:t>
      </w:r>
      <w:proofErr w:type="gramStart"/>
      <w:r w:rsidRPr="0018647A">
        <w:rPr>
          <w:i/>
          <w:iCs/>
          <w:sz w:val="24"/>
          <w:szCs w:val="24"/>
          <w:lang w:val="en-GB"/>
        </w:rPr>
        <w:t>cache?,</w:t>
      </w:r>
      <w:proofErr w:type="gramEnd"/>
      <w:r w:rsidRPr="0018647A">
        <w:rPr>
          <w:i/>
          <w:iCs/>
          <w:sz w:val="24"/>
          <w:szCs w:val="24"/>
          <w:lang w:val="en-GB"/>
        </w:rPr>
        <w:t xml:space="preserve"> </w:t>
      </w:r>
      <w:r w:rsidRPr="0018647A">
        <w:rPr>
          <w:sz w:val="24"/>
          <w:szCs w:val="24"/>
          <w:lang w:val="en-GB"/>
        </w:rPr>
        <w:t xml:space="preserve">in </w:t>
      </w:r>
      <w:r w:rsidRPr="0018647A">
        <w:rPr>
          <w:i/>
          <w:iCs/>
          <w:sz w:val="24"/>
          <w:szCs w:val="24"/>
          <w:lang w:val="en-GB"/>
        </w:rPr>
        <w:t xml:space="preserve">Journal of Intellectual Property Law &amp; Practice, </w:t>
      </w:r>
      <w:r w:rsidRPr="0018647A">
        <w:rPr>
          <w:sz w:val="24"/>
          <w:szCs w:val="24"/>
          <w:lang w:val="en-GB"/>
        </w:rPr>
        <w:t>2007, Vol. 2, No. 7, p. 437 ff.</w:t>
      </w:r>
    </w:p>
    <w:p w14:paraId="6C170569" w14:textId="77777777" w:rsidR="00651F9B" w:rsidRPr="0018647A" w:rsidRDefault="00651F9B" w:rsidP="00651F9B">
      <w:pPr>
        <w:pStyle w:val="Testonotaapidipagina"/>
        <w:ind w:left="360"/>
        <w:jc w:val="both"/>
        <w:rPr>
          <w:sz w:val="24"/>
          <w:szCs w:val="24"/>
          <w:lang w:val="en-GB"/>
        </w:rPr>
      </w:pPr>
    </w:p>
    <w:p w14:paraId="4A379058" w14:textId="77777777" w:rsidR="00651F9B" w:rsidRPr="0018647A" w:rsidRDefault="00651F9B" w:rsidP="00651F9B">
      <w:pPr>
        <w:pStyle w:val="Testonotaapidipagina"/>
        <w:numPr>
          <w:ilvl w:val="0"/>
          <w:numId w:val="15"/>
        </w:numPr>
        <w:jc w:val="both"/>
        <w:rPr>
          <w:sz w:val="24"/>
          <w:szCs w:val="24"/>
          <w:lang w:val="en-GB"/>
        </w:rPr>
      </w:pPr>
      <w:r w:rsidRPr="0018647A">
        <w:rPr>
          <w:sz w:val="24"/>
          <w:szCs w:val="24"/>
          <w:lang w:val="en-GB"/>
        </w:rPr>
        <w:t>B</w:t>
      </w:r>
      <w:r w:rsidRPr="0018647A">
        <w:rPr>
          <w:smallCaps/>
          <w:sz w:val="24"/>
          <w:szCs w:val="24"/>
          <w:lang w:val="en-GB"/>
        </w:rPr>
        <w:t>anterle</w:t>
      </w:r>
      <w:r>
        <w:rPr>
          <w:smallCaps/>
          <w:sz w:val="24"/>
          <w:szCs w:val="24"/>
          <w:lang w:val="en-GB"/>
        </w:rPr>
        <w:t xml:space="preserve"> </w:t>
      </w:r>
      <w:r w:rsidRPr="0018647A">
        <w:rPr>
          <w:sz w:val="24"/>
          <w:szCs w:val="24"/>
          <w:lang w:val="en-GB"/>
        </w:rPr>
        <w:t xml:space="preserve">F., </w:t>
      </w:r>
      <w:r w:rsidRPr="0018647A">
        <w:rPr>
          <w:i/>
          <w:iCs/>
          <w:sz w:val="24"/>
          <w:szCs w:val="24"/>
          <w:lang w:val="en-GB"/>
        </w:rPr>
        <w:t>Data Ownership in the Data Economy: A European Dilemma</w:t>
      </w:r>
      <w:r w:rsidRPr="0018647A">
        <w:rPr>
          <w:sz w:val="24"/>
          <w:szCs w:val="24"/>
          <w:lang w:val="en-GB"/>
        </w:rPr>
        <w:t xml:space="preserve">, in </w:t>
      </w:r>
      <w:proofErr w:type="spellStart"/>
      <w:r w:rsidRPr="0018647A">
        <w:rPr>
          <w:smallCaps/>
          <w:sz w:val="24"/>
          <w:szCs w:val="24"/>
          <w:lang w:val="en-GB"/>
        </w:rPr>
        <w:t>Synodinou</w:t>
      </w:r>
      <w:proofErr w:type="spellEnd"/>
      <w:r>
        <w:rPr>
          <w:smallCaps/>
          <w:sz w:val="24"/>
          <w:szCs w:val="24"/>
          <w:lang w:val="en-GB"/>
        </w:rPr>
        <w:t xml:space="preserve"> T.</w:t>
      </w:r>
      <w:r w:rsidRPr="0018647A">
        <w:rPr>
          <w:sz w:val="24"/>
          <w:szCs w:val="24"/>
          <w:lang w:val="en-GB"/>
        </w:rPr>
        <w:t xml:space="preserve">, </w:t>
      </w:r>
      <w:proofErr w:type="spellStart"/>
      <w:r w:rsidRPr="0018647A">
        <w:rPr>
          <w:smallCaps/>
          <w:sz w:val="24"/>
          <w:szCs w:val="24"/>
          <w:lang w:val="en-GB"/>
        </w:rPr>
        <w:t>Jougleux</w:t>
      </w:r>
      <w:proofErr w:type="spellEnd"/>
      <w:r>
        <w:rPr>
          <w:smallCaps/>
          <w:sz w:val="24"/>
          <w:szCs w:val="24"/>
          <w:lang w:val="en-GB"/>
        </w:rPr>
        <w:t xml:space="preserve"> P.</w:t>
      </w:r>
      <w:r w:rsidRPr="0018647A">
        <w:rPr>
          <w:sz w:val="24"/>
          <w:szCs w:val="24"/>
          <w:lang w:val="en-GB"/>
        </w:rPr>
        <w:t xml:space="preserve">, </w:t>
      </w:r>
      <w:proofErr w:type="spellStart"/>
      <w:r w:rsidRPr="0018647A">
        <w:rPr>
          <w:smallCaps/>
          <w:sz w:val="24"/>
          <w:szCs w:val="24"/>
          <w:lang w:val="en-GB"/>
        </w:rPr>
        <w:t>Markou</w:t>
      </w:r>
      <w:proofErr w:type="spellEnd"/>
      <w:r>
        <w:rPr>
          <w:smallCaps/>
          <w:sz w:val="24"/>
          <w:szCs w:val="24"/>
          <w:lang w:val="en-GB"/>
        </w:rPr>
        <w:t xml:space="preserve"> C.</w:t>
      </w:r>
      <w:r w:rsidRPr="0018647A">
        <w:rPr>
          <w:sz w:val="24"/>
          <w:szCs w:val="24"/>
          <w:lang w:val="en-GB"/>
        </w:rPr>
        <w:t xml:space="preserve">, </w:t>
      </w:r>
      <w:proofErr w:type="spellStart"/>
      <w:r w:rsidRPr="0018647A">
        <w:rPr>
          <w:smallCaps/>
          <w:sz w:val="24"/>
          <w:szCs w:val="24"/>
          <w:lang w:val="en-GB"/>
        </w:rPr>
        <w:t>Prastitou</w:t>
      </w:r>
      <w:proofErr w:type="spellEnd"/>
      <w:r w:rsidRPr="0018647A">
        <w:rPr>
          <w:smallCaps/>
          <w:sz w:val="24"/>
          <w:szCs w:val="24"/>
          <w:lang w:val="en-GB"/>
        </w:rPr>
        <w:t xml:space="preserve"> </w:t>
      </w:r>
      <w:r>
        <w:rPr>
          <w:smallCaps/>
          <w:sz w:val="24"/>
          <w:szCs w:val="24"/>
          <w:lang w:val="en-GB"/>
        </w:rPr>
        <w:t xml:space="preserve">T. </w:t>
      </w:r>
      <w:r w:rsidRPr="0018647A">
        <w:rPr>
          <w:sz w:val="24"/>
          <w:szCs w:val="24"/>
          <w:lang w:val="en-GB"/>
        </w:rPr>
        <w:t xml:space="preserve">(eds.), </w:t>
      </w:r>
      <w:r w:rsidRPr="0018647A">
        <w:rPr>
          <w:i/>
          <w:iCs/>
          <w:sz w:val="24"/>
          <w:szCs w:val="24"/>
          <w:lang w:val="en-GB"/>
        </w:rPr>
        <w:t>E</w:t>
      </w:r>
      <w:r>
        <w:rPr>
          <w:i/>
          <w:iCs/>
          <w:sz w:val="24"/>
          <w:szCs w:val="24"/>
          <w:lang w:val="en-GB"/>
        </w:rPr>
        <w:t>U</w:t>
      </w:r>
      <w:r w:rsidRPr="0018647A">
        <w:rPr>
          <w:i/>
          <w:iCs/>
          <w:sz w:val="24"/>
          <w:szCs w:val="24"/>
          <w:lang w:val="en-GB"/>
        </w:rPr>
        <w:t xml:space="preserve"> Internet Law in the Digital Era</w:t>
      </w:r>
      <w:r w:rsidRPr="0018647A">
        <w:rPr>
          <w:sz w:val="24"/>
          <w:szCs w:val="24"/>
          <w:lang w:val="en-GB"/>
        </w:rPr>
        <w:t>, Springer, 2019, p. 199 ff.</w:t>
      </w:r>
    </w:p>
    <w:p w14:paraId="50A95BE8" w14:textId="77777777" w:rsidR="00651F9B" w:rsidRPr="0018647A" w:rsidRDefault="00651F9B" w:rsidP="00651F9B">
      <w:pPr>
        <w:pStyle w:val="Testonotaapidipagina"/>
        <w:ind w:left="360"/>
        <w:jc w:val="both"/>
        <w:rPr>
          <w:sz w:val="24"/>
          <w:szCs w:val="24"/>
          <w:lang w:val="en-GB"/>
        </w:rPr>
      </w:pPr>
    </w:p>
    <w:p w14:paraId="0C37A841" w14:textId="77777777" w:rsidR="00651F9B" w:rsidRPr="0018647A" w:rsidRDefault="00651F9B" w:rsidP="00651F9B">
      <w:pPr>
        <w:pStyle w:val="Testonotaapidipagina"/>
        <w:numPr>
          <w:ilvl w:val="0"/>
          <w:numId w:val="15"/>
        </w:numPr>
        <w:jc w:val="both"/>
        <w:rPr>
          <w:sz w:val="24"/>
          <w:szCs w:val="24"/>
          <w:lang w:val="en-GB"/>
        </w:rPr>
      </w:pPr>
      <w:proofErr w:type="spellStart"/>
      <w:r w:rsidRPr="0018647A">
        <w:rPr>
          <w:smallCaps/>
          <w:sz w:val="24"/>
          <w:szCs w:val="24"/>
          <w:lang w:val="en-GB"/>
        </w:rPr>
        <w:t>Bottis</w:t>
      </w:r>
      <w:proofErr w:type="spellEnd"/>
      <w:r>
        <w:rPr>
          <w:smallCaps/>
          <w:sz w:val="24"/>
          <w:szCs w:val="24"/>
          <w:lang w:val="en-GB"/>
        </w:rPr>
        <w:t xml:space="preserve"> M.</w:t>
      </w:r>
      <w:r w:rsidRPr="0018647A">
        <w:rPr>
          <w:smallCaps/>
          <w:sz w:val="24"/>
          <w:szCs w:val="24"/>
          <w:lang w:val="en-GB"/>
        </w:rPr>
        <w:t xml:space="preserve">, </w:t>
      </w:r>
      <w:r>
        <w:rPr>
          <w:smallCaps/>
          <w:sz w:val="24"/>
          <w:szCs w:val="24"/>
          <w:lang w:val="en-GB"/>
        </w:rPr>
        <w:t>P</w:t>
      </w:r>
      <w:r w:rsidRPr="0018647A">
        <w:rPr>
          <w:smallCaps/>
          <w:sz w:val="24"/>
          <w:szCs w:val="24"/>
          <w:lang w:val="en-GB"/>
        </w:rPr>
        <w:t>apadopoulos</w:t>
      </w:r>
      <w:r>
        <w:rPr>
          <w:smallCaps/>
          <w:sz w:val="24"/>
          <w:szCs w:val="24"/>
          <w:lang w:val="en-GB"/>
        </w:rPr>
        <w:t xml:space="preserve"> M.</w:t>
      </w:r>
      <w:r w:rsidRPr="0018647A">
        <w:rPr>
          <w:smallCaps/>
          <w:sz w:val="24"/>
          <w:szCs w:val="24"/>
          <w:lang w:val="en-GB"/>
        </w:rPr>
        <w:t xml:space="preserve">, </w:t>
      </w:r>
      <w:proofErr w:type="spellStart"/>
      <w:r w:rsidRPr="0018647A">
        <w:rPr>
          <w:smallCaps/>
          <w:sz w:val="24"/>
          <w:szCs w:val="24"/>
          <w:lang w:val="en-GB"/>
        </w:rPr>
        <w:t>Zampakolas</w:t>
      </w:r>
      <w:proofErr w:type="spellEnd"/>
      <w:r>
        <w:rPr>
          <w:smallCaps/>
          <w:sz w:val="24"/>
          <w:szCs w:val="24"/>
          <w:lang w:val="en-GB"/>
        </w:rPr>
        <w:t xml:space="preserve"> C.</w:t>
      </w:r>
      <w:r w:rsidRPr="0018647A">
        <w:rPr>
          <w:smallCaps/>
          <w:sz w:val="24"/>
          <w:szCs w:val="24"/>
          <w:lang w:val="en-GB"/>
        </w:rPr>
        <w:t xml:space="preserve">, </w:t>
      </w:r>
      <w:proofErr w:type="spellStart"/>
      <w:r w:rsidRPr="0018647A">
        <w:rPr>
          <w:smallCaps/>
          <w:sz w:val="24"/>
          <w:szCs w:val="24"/>
          <w:lang w:val="en-GB"/>
        </w:rPr>
        <w:t>Ganatsiou</w:t>
      </w:r>
      <w:proofErr w:type="spellEnd"/>
      <w:r>
        <w:rPr>
          <w:smallCaps/>
          <w:sz w:val="24"/>
          <w:szCs w:val="24"/>
          <w:lang w:val="en-GB"/>
        </w:rPr>
        <w:t xml:space="preserve"> P.</w:t>
      </w:r>
      <w:r w:rsidRPr="0018647A">
        <w:rPr>
          <w:smallCaps/>
          <w:sz w:val="24"/>
          <w:szCs w:val="24"/>
          <w:lang w:val="en-GB"/>
        </w:rPr>
        <w:t>,</w:t>
      </w:r>
      <w:r w:rsidRPr="0018647A">
        <w:rPr>
          <w:sz w:val="24"/>
          <w:szCs w:val="24"/>
          <w:lang w:val="en-GB"/>
        </w:rPr>
        <w:t xml:space="preserve"> </w:t>
      </w:r>
      <w:r w:rsidRPr="0018647A">
        <w:rPr>
          <w:i/>
          <w:iCs/>
          <w:sz w:val="24"/>
          <w:szCs w:val="24"/>
          <w:lang w:val="en-GB"/>
        </w:rPr>
        <w:t xml:space="preserve">Text and Data Mining in Directive 2019/790/EU Enhancing Web-Harvesting and Web-Archiving in Libraries and Archives, </w:t>
      </w:r>
      <w:r w:rsidRPr="0018647A">
        <w:rPr>
          <w:sz w:val="24"/>
          <w:szCs w:val="24"/>
          <w:lang w:val="en-GB"/>
        </w:rPr>
        <w:t xml:space="preserve">in </w:t>
      </w:r>
      <w:r w:rsidRPr="0018647A">
        <w:rPr>
          <w:i/>
          <w:iCs/>
          <w:sz w:val="24"/>
          <w:szCs w:val="24"/>
          <w:lang w:val="en-GB"/>
        </w:rPr>
        <w:t>Open Journal of Philosophy</w:t>
      </w:r>
      <w:r w:rsidRPr="0018647A">
        <w:rPr>
          <w:sz w:val="24"/>
          <w:szCs w:val="24"/>
          <w:lang w:val="en-GB"/>
        </w:rPr>
        <w:t>, 2019, Vol. 9, p. 369 ff.</w:t>
      </w:r>
    </w:p>
    <w:p w14:paraId="4E3E7857" w14:textId="77777777" w:rsidR="00651F9B" w:rsidRPr="0018647A" w:rsidRDefault="00651F9B" w:rsidP="00651F9B">
      <w:pPr>
        <w:pStyle w:val="Testonotaapidipagina"/>
        <w:jc w:val="both"/>
        <w:rPr>
          <w:sz w:val="24"/>
          <w:szCs w:val="24"/>
          <w:lang w:val="en-GB"/>
        </w:rPr>
      </w:pPr>
    </w:p>
    <w:p w14:paraId="4D9B7A52" w14:textId="77777777" w:rsidR="00651F9B" w:rsidRPr="0018647A" w:rsidRDefault="00651F9B" w:rsidP="00651F9B">
      <w:pPr>
        <w:pStyle w:val="Testonotaapidipagina"/>
        <w:numPr>
          <w:ilvl w:val="0"/>
          <w:numId w:val="15"/>
        </w:numPr>
        <w:jc w:val="both"/>
        <w:rPr>
          <w:sz w:val="24"/>
          <w:szCs w:val="24"/>
          <w:lang w:val="en-GB"/>
        </w:rPr>
      </w:pPr>
      <w:r w:rsidRPr="0018647A">
        <w:rPr>
          <w:smallCaps/>
          <w:sz w:val="24"/>
          <w:szCs w:val="24"/>
          <w:lang w:val="en-GB"/>
        </w:rPr>
        <w:lastRenderedPageBreak/>
        <w:t>Carroll</w:t>
      </w:r>
      <w:r>
        <w:rPr>
          <w:smallCaps/>
          <w:sz w:val="24"/>
          <w:szCs w:val="24"/>
          <w:lang w:val="en-GB"/>
        </w:rPr>
        <w:t xml:space="preserve"> M.</w:t>
      </w:r>
      <w:r w:rsidRPr="0018647A">
        <w:rPr>
          <w:smallCaps/>
          <w:sz w:val="24"/>
          <w:szCs w:val="24"/>
          <w:lang w:val="en-GB"/>
        </w:rPr>
        <w:t>,</w:t>
      </w:r>
      <w:r w:rsidRPr="0018647A">
        <w:rPr>
          <w:sz w:val="24"/>
          <w:szCs w:val="24"/>
          <w:lang w:val="en-GB"/>
        </w:rPr>
        <w:t xml:space="preserve"> </w:t>
      </w:r>
      <w:r w:rsidRPr="0018647A">
        <w:rPr>
          <w:i/>
          <w:iCs/>
          <w:sz w:val="24"/>
          <w:szCs w:val="24"/>
          <w:lang w:val="en-GB"/>
        </w:rPr>
        <w:t xml:space="preserve">Creative Commons as Conversational Copyright, </w:t>
      </w:r>
      <w:r w:rsidRPr="0018647A">
        <w:rPr>
          <w:sz w:val="24"/>
          <w:szCs w:val="24"/>
          <w:lang w:val="en-GB"/>
        </w:rPr>
        <w:t xml:space="preserve">in </w:t>
      </w:r>
      <w:r w:rsidRPr="0018647A">
        <w:rPr>
          <w:smallCaps/>
          <w:sz w:val="24"/>
          <w:szCs w:val="24"/>
          <w:lang w:val="en-GB"/>
        </w:rPr>
        <w:t>P. K. Yu</w:t>
      </w:r>
      <w:r w:rsidRPr="0018647A">
        <w:rPr>
          <w:sz w:val="24"/>
          <w:szCs w:val="24"/>
          <w:lang w:val="en-GB"/>
        </w:rPr>
        <w:t xml:space="preserve"> (ed</w:t>
      </w:r>
      <w:r w:rsidRPr="0018647A">
        <w:rPr>
          <w:i/>
          <w:iCs/>
          <w:sz w:val="24"/>
          <w:szCs w:val="24"/>
          <w:lang w:val="en-GB"/>
        </w:rPr>
        <w:t>.), Intellectual Property and Information Wealth: Issues and Practises in the Digital Age</w:t>
      </w:r>
      <w:r w:rsidRPr="0018647A">
        <w:rPr>
          <w:sz w:val="24"/>
          <w:szCs w:val="24"/>
          <w:lang w:val="en-GB"/>
        </w:rPr>
        <w:t>, Praeger, 2007, p. 445 ff.</w:t>
      </w:r>
    </w:p>
    <w:p w14:paraId="60B07806" w14:textId="77777777" w:rsidR="00651F9B" w:rsidRPr="0018647A" w:rsidRDefault="00651F9B" w:rsidP="00651F9B">
      <w:pPr>
        <w:pStyle w:val="Paragrafoelenco"/>
        <w:ind w:left="360"/>
        <w:jc w:val="both"/>
        <w:rPr>
          <w:sz w:val="24"/>
          <w:szCs w:val="24"/>
          <w:lang w:val="en-GB"/>
        </w:rPr>
      </w:pPr>
    </w:p>
    <w:p w14:paraId="6CF96F05" w14:textId="77777777" w:rsidR="00651F9B" w:rsidRPr="001B14F1" w:rsidRDefault="00651F9B" w:rsidP="00651F9B">
      <w:pPr>
        <w:pStyle w:val="Paragrafoelenco"/>
        <w:numPr>
          <w:ilvl w:val="0"/>
          <w:numId w:val="15"/>
        </w:numPr>
        <w:jc w:val="both"/>
        <w:rPr>
          <w:sz w:val="24"/>
          <w:szCs w:val="24"/>
        </w:rPr>
      </w:pPr>
      <w:r w:rsidRPr="001B14F1">
        <w:rPr>
          <w:smallCaps/>
          <w:sz w:val="24"/>
          <w:szCs w:val="24"/>
        </w:rPr>
        <w:t>Caso R.,</w:t>
      </w:r>
      <w:r w:rsidRPr="001B14F1">
        <w:rPr>
          <w:sz w:val="24"/>
          <w:szCs w:val="24"/>
        </w:rPr>
        <w:t xml:space="preserve"> </w:t>
      </w:r>
      <w:r w:rsidRPr="001B14F1">
        <w:rPr>
          <w:i/>
          <w:iCs/>
          <w:sz w:val="24"/>
          <w:szCs w:val="24"/>
        </w:rPr>
        <w:t>Il conflitto tra diritto d’autore e ricerca scientifica nella disciplina del text and data mining della direttiva sul mercato unico digitale</w:t>
      </w:r>
      <w:r w:rsidRPr="001B14F1">
        <w:rPr>
          <w:sz w:val="24"/>
          <w:szCs w:val="24"/>
        </w:rPr>
        <w:t xml:space="preserve">, Trento </w:t>
      </w:r>
      <w:proofErr w:type="spellStart"/>
      <w:r w:rsidRPr="001B14F1">
        <w:rPr>
          <w:sz w:val="24"/>
          <w:szCs w:val="24"/>
        </w:rPr>
        <w:t>Law</w:t>
      </w:r>
      <w:proofErr w:type="spellEnd"/>
      <w:r w:rsidRPr="001B14F1">
        <w:rPr>
          <w:sz w:val="24"/>
          <w:szCs w:val="24"/>
        </w:rPr>
        <w:t xml:space="preserve"> and Technology </w:t>
      </w:r>
      <w:proofErr w:type="spellStart"/>
      <w:r w:rsidRPr="001B14F1">
        <w:rPr>
          <w:sz w:val="24"/>
          <w:szCs w:val="24"/>
        </w:rPr>
        <w:t>Research</w:t>
      </w:r>
      <w:proofErr w:type="spellEnd"/>
      <w:r w:rsidRPr="001B14F1">
        <w:rPr>
          <w:sz w:val="24"/>
          <w:szCs w:val="24"/>
        </w:rPr>
        <w:t xml:space="preserve"> Group </w:t>
      </w:r>
      <w:proofErr w:type="spellStart"/>
      <w:r w:rsidRPr="001B14F1">
        <w:rPr>
          <w:sz w:val="24"/>
          <w:szCs w:val="24"/>
        </w:rPr>
        <w:t>Research</w:t>
      </w:r>
      <w:proofErr w:type="spellEnd"/>
      <w:r w:rsidRPr="001B14F1">
        <w:rPr>
          <w:sz w:val="24"/>
          <w:szCs w:val="24"/>
        </w:rPr>
        <w:t xml:space="preserve"> Paper no. 38, 2020, </w:t>
      </w:r>
      <w:proofErr w:type="spellStart"/>
      <w:r w:rsidRPr="001B14F1">
        <w:rPr>
          <w:sz w:val="24"/>
          <w:szCs w:val="24"/>
        </w:rPr>
        <w:t>available</w:t>
      </w:r>
      <w:proofErr w:type="spellEnd"/>
      <w:r w:rsidRPr="001B14F1">
        <w:rPr>
          <w:sz w:val="24"/>
          <w:szCs w:val="24"/>
        </w:rPr>
        <w:t xml:space="preserve"> </w:t>
      </w:r>
      <w:proofErr w:type="spellStart"/>
      <w:r w:rsidRPr="001B14F1">
        <w:rPr>
          <w:sz w:val="24"/>
          <w:szCs w:val="24"/>
        </w:rPr>
        <w:t>at</w:t>
      </w:r>
      <w:proofErr w:type="spellEnd"/>
      <w:r w:rsidRPr="001B14F1">
        <w:rPr>
          <w:sz w:val="24"/>
          <w:szCs w:val="24"/>
        </w:rPr>
        <w:t xml:space="preserve"> </w:t>
      </w:r>
      <w:hyperlink r:id="rId8" w:history="1">
        <w:r w:rsidRPr="001B14F1">
          <w:rPr>
            <w:rStyle w:val="Collegamentoipertestuale"/>
            <w:color w:val="4472C4" w:themeColor="accent1"/>
            <w:sz w:val="24"/>
            <w:szCs w:val="24"/>
          </w:rPr>
          <w:t>https://zenodo.org/communities/trentolawtechgroup/</w:t>
        </w:r>
      </w:hyperlink>
      <w:r w:rsidRPr="001B14F1">
        <w:rPr>
          <w:rStyle w:val="Collegamentoipertestuale"/>
          <w:color w:val="auto"/>
          <w:sz w:val="24"/>
          <w:szCs w:val="24"/>
          <w:u w:val="none"/>
        </w:rPr>
        <w:t xml:space="preserve">, </w:t>
      </w:r>
      <w:bookmarkStart w:id="6" w:name="_Hlk47276037"/>
      <w:r w:rsidRPr="001B14F1">
        <w:rPr>
          <w:rStyle w:val="Collegamentoipertestuale"/>
          <w:color w:val="auto"/>
          <w:sz w:val="24"/>
          <w:szCs w:val="24"/>
          <w:u w:val="none"/>
        </w:rPr>
        <w:t xml:space="preserve">last </w:t>
      </w:r>
      <w:proofErr w:type="spellStart"/>
      <w:r w:rsidRPr="001B14F1">
        <w:rPr>
          <w:rStyle w:val="Collegamentoipertestuale"/>
          <w:color w:val="auto"/>
          <w:sz w:val="24"/>
          <w:szCs w:val="24"/>
          <w:u w:val="none"/>
        </w:rPr>
        <w:t>accessed</w:t>
      </w:r>
      <w:proofErr w:type="spellEnd"/>
      <w:r w:rsidRPr="001B14F1">
        <w:rPr>
          <w:rStyle w:val="Collegamentoipertestuale"/>
          <w:color w:val="auto"/>
          <w:sz w:val="24"/>
          <w:szCs w:val="24"/>
          <w:u w:val="none"/>
        </w:rPr>
        <w:t xml:space="preserve"> on 25 </w:t>
      </w:r>
      <w:proofErr w:type="spellStart"/>
      <w:r w:rsidRPr="001B14F1">
        <w:rPr>
          <w:rStyle w:val="Collegamentoipertestuale"/>
          <w:color w:val="auto"/>
          <w:sz w:val="24"/>
          <w:szCs w:val="24"/>
          <w:u w:val="none"/>
        </w:rPr>
        <w:t>July</w:t>
      </w:r>
      <w:proofErr w:type="spellEnd"/>
      <w:r w:rsidRPr="001B14F1">
        <w:rPr>
          <w:rStyle w:val="Collegamentoipertestuale"/>
          <w:color w:val="auto"/>
          <w:sz w:val="24"/>
          <w:szCs w:val="24"/>
          <w:u w:val="none"/>
        </w:rPr>
        <w:t xml:space="preserve"> 2020.</w:t>
      </w:r>
    </w:p>
    <w:p w14:paraId="382501C9" w14:textId="77777777" w:rsidR="00651F9B" w:rsidRPr="001B14F1" w:rsidRDefault="00651F9B" w:rsidP="00651F9B">
      <w:pPr>
        <w:pStyle w:val="Paragrafoelenco"/>
        <w:ind w:left="360"/>
        <w:jc w:val="both"/>
        <w:rPr>
          <w:sz w:val="24"/>
          <w:szCs w:val="24"/>
        </w:rPr>
      </w:pPr>
      <w:bookmarkStart w:id="7" w:name="_Hlk47257518"/>
    </w:p>
    <w:bookmarkEnd w:id="6"/>
    <w:p w14:paraId="7EC2564E"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Caspers</w:t>
      </w:r>
      <w:proofErr w:type="spellEnd"/>
      <w:r>
        <w:rPr>
          <w:smallCaps/>
          <w:sz w:val="24"/>
          <w:szCs w:val="24"/>
          <w:lang w:val="en-GB"/>
        </w:rPr>
        <w:t xml:space="preserve"> M.</w:t>
      </w:r>
      <w:r w:rsidRPr="0018647A">
        <w:rPr>
          <w:smallCaps/>
          <w:sz w:val="24"/>
          <w:szCs w:val="24"/>
          <w:lang w:val="en-GB"/>
        </w:rPr>
        <w:t xml:space="preserve">, </w:t>
      </w:r>
      <w:proofErr w:type="spellStart"/>
      <w:r w:rsidRPr="0018647A">
        <w:rPr>
          <w:smallCaps/>
          <w:sz w:val="24"/>
          <w:szCs w:val="24"/>
          <w:lang w:val="en-GB"/>
        </w:rPr>
        <w:t>Guibault</w:t>
      </w:r>
      <w:proofErr w:type="spellEnd"/>
      <w:r>
        <w:rPr>
          <w:smallCaps/>
          <w:sz w:val="24"/>
          <w:szCs w:val="24"/>
          <w:lang w:val="en-GB"/>
        </w:rPr>
        <w:t xml:space="preserve"> L.</w:t>
      </w:r>
      <w:r w:rsidRPr="0018647A">
        <w:rPr>
          <w:smallCaps/>
          <w:sz w:val="24"/>
          <w:szCs w:val="24"/>
          <w:lang w:val="en-GB"/>
        </w:rPr>
        <w:t xml:space="preserve"> et Al.</w:t>
      </w:r>
      <w:r w:rsidRPr="0018647A">
        <w:rPr>
          <w:sz w:val="24"/>
          <w:szCs w:val="24"/>
          <w:lang w:val="en-GB"/>
        </w:rPr>
        <w:t xml:space="preserve">, </w:t>
      </w:r>
      <w:bookmarkEnd w:id="7"/>
      <w:r w:rsidRPr="0018647A">
        <w:rPr>
          <w:i/>
          <w:iCs/>
          <w:sz w:val="24"/>
          <w:szCs w:val="24"/>
          <w:lang w:val="en-GB"/>
        </w:rPr>
        <w:t>Baseline report of policies and barriers of TDM in Europe</w:t>
      </w:r>
      <w:r w:rsidRPr="0018647A">
        <w:rPr>
          <w:sz w:val="24"/>
          <w:szCs w:val="24"/>
          <w:lang w:val="en-GB"/>
        </w:rPr>
        <w:t>, in</w:t>
      </w:r>
      <w:r w:rsidRPr="0018647A">
        <w:rPr>
          <w:i/>
          <w:iCs/>
          <w:sz w:val="24"/>
          <w:szCs w:val="24"/>
          <w:lang w:val="en-GB"/>
        </w:rPr>
        <w:t xml:space="preserve"> </w:t>
      </w:r>
      <w:proofErr w:type="spellStart"/>
      <w:r w:rsidRPr="0018647A">
        <w:rPr>
          <w:i/>
          <w:iCs/>
          <w:sz w:val="24"/>
          <w:szCs w:val="24"/>
          <w:lang w:val="en-GB"/>
        </w:rPr>
        <w:t>FutureTDM</w:t>
      </w:r>
      <w:proofErr w:type="spellEnd"/>
      <w:r>
        <w:rPr>
          <w:i/>
          <w:iCs/>
          <w:sz w:val="24"/>
          <w:szCs w:val="24"/>
          <w:lang w:val="en-GB"/>
        </w:rPr>
        <w:t>,</w:t>
      </w:r>
      <w:r w:rsidRPr="0018647A">
        <w:rPr>
          <w:sz w:val="24"/>
          <w:szCs w:val="24"/>
          <w:lang w:val="en-GB"/>
        </w:rPr>
        <w:t xml:space="preserve"> 2016, </w:t>
      </w:r>
      <w:r w:rsidRPr="0018647A">
        <w:rPr>
          <w:color w:val="4472C4" w:themeColor="accent1"/>
          <w:sz w:val="24"/>
          <w:szCs w:val="24"/>
          <w:u w:val="single"/>
          <w:lang w:val="en-GB"/>
        </w:rPr>
        <w:t>http://www.futuretdm.eu/knowledge-library/?b5-file=4588&amp;b5-folder=2227</w:t>
      </w:r>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r w:rsidRPr="0018647A">
        <w:rPr>
          <w:sz w:val="24"/>
          <w:szCs w:val="24"/>
          <w:lang w:val="en-GB"/>
        </w:rPr>
        <w:t xml:space="preserve"> </w:t>
      </w:r>
    </w:p>
    <w:p w14:paraId="0075E9D2" w14:textId="77777777" w:rsidR="00651F9B" w:rsidRPr="0018647A" w:rsidRDefault="00651F9B" w:rsidP="00651F9B">
      <w:pPr>
        <w:pStyle w:val="Paragrafoelenco"/>
        <w:rPr>
          <w:sz w:val="24"/>
          <w:szCs w:val="24"/>
          <w:lang w:val="en-GB"/>
        </w:rPr>
      </w:pPr>
    </w:p>
    <w:p w14:paraId="4697DDF4" w14:textId="77777777" w:rsidR="00651F9B" w:rsidRPr="009E4B17" w:rsidRDefault="00651F9B" w:rsidP="00651F9B">
      <w:pPr>
        <w:pStyle w:val="Paragrafoelenco"/>
        <w:numPr>
          <w:ilvl w:val="0"/>
          <w:numId w:val="15"/>
        </w:numPr>
        <w:jc w:val="both"/>
        <w:rPr>
          <w:sz w:val="24"/>
          <w:szCs w:val="24"/>
          <w:lang w:val="en-GB"/>
        </w:rPr>
      </w:pPr>
      <w:r w:rsidRPr="0018647A">
        <w:rPr>
          <w:smallCaps/>
          <w:sz w:val="24"/>
          <w:szCs w:val="24"/>
          <w:lang w:val="en-GB"/>
        </w:rPr>
        <w:t>Clark</w:t>
      </w:r>
      <w:r>
        <w:rPr>
          <w:smallCaps/>
          <w:sz w:val="24"/>
          <w:szCs w:val="24"/>
          <w:lang w:val="en-GB"/>
        </w:rPr>
        <w:t xml:space="preserve"> B.</w:t>
      </w:r>
      <w:r w:rsidRPr="0018647A">
        <w:rPr>
          <w:smallCaps/>
          <w:sz w:val="24"/>
          <w:szCs w:val="24"/>
          <w:lang w:val="en-GB"/>
        </w:rPr>
        <w:t>,</w:t>
      </w:r>
      <w:r w:rsidRPr="0018647A">
        <w:rPr>
          <w:sz w:val="24"/>
          <w:szCs w:val="24"/>
          <w:lang w:val="en-GB"/>
        </w:rPr>
        <w:t xml:space="preserve"> </w:t>
      </w:r>
      <w:r w:rsidRPr="0018647A">
        <w:rPr>
          <w:i/>
          <w:iCs/>
          <w:sz w:val="24"/>
          <w:szCs w:val="24"/>
          <w:lang w:val="en-GB"/>
        </w:rPr>
        <w:t xml:space="preserve">Google Image Search does not infringe copyright, says </w:t>
      </w:r>
      <w:proofErr w:type="spellStart"/>
      <w:r w:rsidRPr="0018647A">
        <w:rPr>
          <w:i/>
          <w:iCs/>
          <w:sz w:val="24"/>
          <w:szCs w:val="24"/>
          <w:lang w:val="en-GB"/>
        </w:rPr>
        <w:t>Bundesgerichtshof</w:t>
      </w:r>
      <w:proofErr w:type="spellEnd"/>
      <w:r w:rsidRPr="0018647A">
        <w:rPr>
          <w:i/>
          <w:iCs/>
          <w:sz w:val="24"/>
          <w:szCs w:val="24"/>
          <w:lang w:val="en-GB"/>
        </w:rPr>
        <w:t xml:space="preserve">, </w:t>
      </w:r>
      <w:r w:rsidRPr="0018647A">
        <w:rPr>
          <w:sz w:val="24"/>
          <w:szCs w:val="24"/>
          <w:lang w:val="en-GB"/>
        </w:rPr>
        <w:t xml:space="preserve">in </w:t>
      </w:r>
      <w:r w:rsidRPr="0018647A">
        <w:rPr>
          <w:i/>
          <w:iCs/>
          <w:sz w:val="24"/>
          <w:szCs w:val="24"/>
          <w:lang w:val="en-GB"/>
        </w:rPr>
        <w:t>Journal of Intellectual Property Law &amp; Practice</w:t>
      </w:r>
      <w:r w:rsidRPr="0018647A">
        <w:rPr>
          <w:sz w:val="24"/>
          <w:szCs w:val="24"/>
          <w:lang w:val="en-GB"/>
        </w:rPr>
        <w:t>, 2010, Vol. 5, No. 8, p. 553 ff.</w:t>
      </w:r>
    </w:p>
    <w:p w14:paraId="4B2AAA1D" w14:textId="77777777" w:rsidR="00651F9B" w:rsidRPr="0018647A" w:rsidRDefault="00651F9B" w:rsidP="00651F9B">
      <w:pPr>
        <w:pStyle w:val="Paragrafoelenco"/>
        <w:ind w:left="360"/>
        <w:jc w:val="both"/>
        <w:rPr>
          <w:sz w:val="24"/>
          <w:szCs w:val="24"/>
          <w:lang w:val="en-GB"/>
        </w:rPr>
      </w:pPr>
    </w:p>
    <w:p w14:paraId="3ECD02FC" w14:textId="77777777" w:rsidR="00651F9B" w:rsidRPr="009E4B17"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Communia</w:t>
      </w:r>
      <w:proofErr w:type="spellEnd"/>
      <w:r w:rsidRPr="0018647A">
        <w:rPr>
          <w:smallCaps/>
          <w:sz w:val="24"/>
          <w:szCs w:val="24"/>
          <w:lang w:val="en-GB"/>
        </w:rPr>
        <w:t>,</w:t>
      </w:r>
      <w:r w:rsidRPr="0018647A">
        <w:rPr>
          <w:sz w:val="24"/>
          <w:szCs w:val="24"/>
          <w:lang w:val="en-GB"/>
        </w:rPr>
        <w:t xml:space="preserve"> </w:t>
      </w:r>
      <w:r w:rsidRPr="0018647A">
        <w:rPr>
          <w:i/>
          <w:iCs/>
          <w:sz w:val="24"/>
          <w:szCs w:val="24"/>
          <w:lang w:val="en-GB"/>
        </w:rPr>
        <w:t>DSM Directive Implementation Guidelines</w:t>
      </w:r>
      <w:r w:rsidRPr="0018647A">
        <w:rPr>
          <w:sz w:val="24"/>
          <w:szCs w:val="24"/>
          <w:lang w:val="en-GB"/>
        </w:rPr>
        <w:t xml:space="preserve">, 2019, </w:t>
      </w:r>
      <w:hyperlink r:id="rId9" w:history="1">
        <w:r w:rsidRPr="0018647A">
          <w:rPr>
            <w:rStyle w:val="Collegamentoipertestuale"/>
            <w:sz w:val="24"/>
            <w:szCs w:val="24"/>
            <w:lang w:val="en-GB"/>
          </w:rPr>
          <w:t>https://www.notion.so/DSM-Directive-Implementation-Guidelines-45233be9c0e143338860ae5a03118bf3</w:t>
        </w:r>
      </w:hyperlink>
      <w:r w:rsidRPr="0018647A">
        <w:rPr>
          <w:sz w:val="24"/>
          <w:szCs w:val="24"/>
          <w:lang w:val="en-GB"/>
        </w:rPr>
        <w:t xml:space="preserve">, last accessed </w:t>
      </w:r>
      <w:r>
        <w:rPr>
          <w:sz w:val="24"/>
          <w:szCs w:val="24"/>
          <w:lang w:val="en-GB"/>
        </w:rPr>
        <w:t xml:space="preserve">25 </w:t>
      </w:r>
      <w:r w:rsidRPr="0018647A">
        <w:rPr>
          <w:sz w:val="24"/>
          <w:szCs w:val="24"/>
          <w:lang w:val="en-GB"/>
        </w:rPr>
        <w:t xml:space="preserve">July </w:t>
      </w:r>
      <w:proofErr w:type="gramStart"/>
      <w:r w:rsidRPr="0018647A">
        <w:rPr>
          <w:sz w:val="24"/>
          <w:szCs w:val="24"/>
          <w:lang w:val="en-GB"/>
        </w:rPr>
        <w:t>2020;</w:t>
      </w:r>
      <w:proofErr w:type="gramEnd"/>
    </w:p>
    <w:p w14:paraId="59F85F54" w14:textId="77777777" w:rsidR="00651F9B" w:rsidRPr="0018647A" w:rsidRDefault="00651F9B" w:rsidP="00651F9B">
      <w:pPr>
        <w:pStyle w:val="Paragrafoelenco"/>
        <w:jc w:val="both"/>
        <w:rPr>
          <w:sz w:val="24"/>
          <w:szCs w:val="24"/>
          <w:lang w:val="en-GB"/>
        </w:rPr>
      </w:pPr>
    </w:p>
    <w:p w14:paraId="286DF4EE" w14:textId="77777777" w:rsidR="00651F9B"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Ducato</w:t>
      </w:r>
      <w:proofErr w:type="spellEnd"/>
      <w:r>
        <w:rPr>
          <w:smallCaps/>
          <w:sz w:val="24"/>
          <w:szCs w:val="24"/>
          <w:lang w:val="en-GB"/>
        </w:rPr>
        <w:t xml:space="preserve"> R.</w:t>
      </w:r>
      <w:r w:rsidRPr="0018647A">
        <w:rPr>
          <w:smallCaps/>
          <w:sz w:val="24"/>
          <w:szCs w:val="24"/>
          <w:lang w:val="en-GB"/>
        </w:rPr>
        <w:t xml:space="preserve">, </w:t>
      </w:r>
      <w:proofErr w:type="spellStart"/>
      <w:r w:rsidRPr="0018647A">
        <w:rPr>
          <w:smallCaps/>
          <w:sz w:val="24"/>
          <w:szCs w:val="24"/>
          <w:lang w:val="en-GB"/>
        </w:rPr>
        <w:t>Strowel</w:t>
      </w:r>
      <w:proofErr w:type="spellEnd"/>
      <w:r>
        <w:rPr>
          <w:smallCaps/>
          <w:sz w:val="24"/>
          <w:szCs w:val="24"/>
          <w:lang w:val="en-GB"/>
        </w:rPr>
        <w:t xml:space="preserve"> R.</w:t>
      </w:r>
      <w:r w:rsidRPr="0018647A">
        <w:rPr>
          <w:smallCaps/>
          <w:sz w:val="24"/>
          <w:szCs w:val="24"/>
          <w:lang w:val="en-GB"/>
        </w:rPr>
        <w:t>,</w:t>
      </w:r>
      <w:r w:rsidRPr="0018647A">
        <w:rPr>
          <w:sz w:val="24"/>
          <w:szCs w:val="24"/>
          <w:lang w:val="en-GB"/>
        </w:rPr>
        <w:t xml:space="preserve"> </w:t>
      </w:r>
      <w:r w:rsidRPr="0018647A">
        <w:rPr>
          <w:i/>
          <w:iCs/>
          <w:sz w:val="24"/>
          <w:szCs w:val="24"/>
          <w:lang w:val="en-GB"/>
        </w:rPr>
        <w:t>Limitations to Text and Data Mining and Consumer Empowerment: Making the Case for a Right to ‘‘Machine Legibility</w:t>
      </w:r>
      <w:r w:rsidRPr="0018647A">
        <w:rPr>
          <w:sz w:val="24"/>
          <w:szCs w:val="24"/>
          <w:lang w:val="en-GB"/>
        </w:rPr>
        <w:t>’’, in</w:t>
      </w:r>
      <w:r w:rsidRPr="0018647A">
        <w:rPr>
          <w:i/>
          <w:iCs/>
          <w:sz w:val="24"/>
          <w:szCs w:val="24"/>
          <w:lang w:val="en-GB"/>
        </w:rPr>
        <w:t xml:space="preserve"> IIC</w:t>
      </w:r>
      <w:r>
        <w:rPr>
          <w:i/>
          <w:iCs/>
          <w:sz w:val="24"/>
          <w:szCs w:val="24"/>
          <w:lang w:val="en-GB"/>
        </w:rPr>
        <w:t>,</w:t>
      </w:r>
      <w:r w:rsidRPr="0018647A">
        <w:rPr>
          <w:sz w:val="24"/>
          <w:szCs w:val="24"/>
          <w:lang w:val="en-GB"/>
        </w:rPr>
        <w:t xml:space="preserve"> 2019, p. 649 ff</w:t>
      </w:r>
      <w:r>
        <w:rPr>
          <w:sz w:val="24"/>
          <w:szCs w:val="24"/>
          <w:lang w:val="en-GB"/>
        </w:rPr>
        <w:t>.</w:t>
      </w:r>
      <w:r w:rsidRPr="0018647A">
        <w:rPr>
          <w:sz w:val="24"/>
          <w:szCs w:val="24"/>
          <w:lang w:val="en-GB"/>
        </w:rPr>
        <w:t xml:space="preserve"> </w:t>
      </w:r>
    </w:p>
    <w:p w14:paraId="1D5A1904" w14:textId="77777777" w:rsidR="00651F9B" w:rsidRPr="004A6C32" w:rsidRDefault="00651F9B" w:rsidP="00651F9B">
      <w:pPr>
        <w:pStyle w:val="Paragrafoelenco"/>
        <w:rPr>
          <w:sz w:val="24"/>
          <w:szCs w:val="24"/>
          <w:lang w:val="en-GB"/>
        </w:rPr>
      </w:pPr>
    </w:p>
    <w:p w14:paraId="247E7E07" w14:textId="77777777" w:rsidR="00651F9B" w:rsidRPr="004A6C32" w:rsidRDefault="00651F9B" w:rsidP="00651F9B">
      <w:pPr>
        <w:pStyle w:val="Paragrafoelenco"/>
        <w:numPr>
          <w:ilvl w:val="0"/>
          <w:numId w:val="15"/>
        </w:numPr>
        <w:jc w:val="both"/>
        <w:rPr>
          <w:sz w:val="24"/>
          <w:szCs w:val="24"/>
          <w:lang w:val="en-GB"/>
        </w:rPr>
      </w:pPr>
      <w:r w:rsidRPr="0018647A">
        <w:rPr>
          <w:smallCaps/>
          <w:sz w:val="24"/>
          <w:szCs w:val="24"/>
          <w:lang w:val="en-GB"/>
        </w:rPr>
        <w:t>European Commission,</w:t>
      </w:r>
      <w:r w:rsidRPr="0018647A">
        <w:rPr>
          <w:sz w:val="24"/>
          <w:szCs w:val="24"/>
          <w:lang w:val="en-GB"/>
        </w:rPr>
        <w:t xml:space="preserve"> </w:t>
      </w:r>
      <w:r w:rsidRPr="0018647A">
        <w:rPr>
          <w:i/>
          <w:iCs/>
          <w:sz w:val="24"/>
          <w:szCs w:val="24"/>
          <w:lang w:val="en-GB"/>
        </w:rPr>
        <w:t>Study in support of the evaluation of Directive 96/9/EC on the legal protection of databases</w:t>
      </w:r>
      <w:r w:rsidRPr="0018647A">
        <w:rPr>
          <w:sz w:val="24"/>
          <w:szCs w:val="24"/>
          <w:lang w:val="en-GB"/>
        </w:rPr>
        <w:t>, 2018</w:t>
      </w:r>
      <w:r>
        <w:rPr>
          <w:sz w:val="24"/>
          <w:szCs w:val="24"/>
          <w:lang w:val="en-GB"/>
        </w:rPr>
        <w:t>.</w:t>
      </w:r>
    </w:p>
    <w:p w14:paraId="23B5A8A3" w14:textId="77777777" w:rsidR="00651F9B" w:rsidRPr="009E4B17" w:rsidRDefault="00651F9B" w:rsidP="00651F9B">
      <w:pPr>
        <w:pStyle w:val="Paragrafoelenco"/>
        <w:rPr>
          <w:sz w:val="24"/>
          <w:szCs w:val="24"/>
          <w:lang w:val="en-GB"/>
        </w:rPr>
      </w:pPr>
    </w:p>
    <w:p w14:paraId="0B1343BE"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European Commission</w:t>
      </w:r>
      <w:r w:rsidRPr="0018647A">
        <w:rPr>
          <w:sz w:val="24"/>
          <w:szCs w:val="24"/>
          <w:lang w:val="en-GB"/>
        </w:rPr>
        <w:t xml:space="preserve">, </w:t>
      </w:r>
      <w:r w:rsidRPr="0018647A">
        <w:rPr>
          <w:i/>
          <w:iCs/>
          <w:sz w:val="24"/>
          <w:szCs w:val="24"/>
          <w:lang w:val="en-GB"/>
        </w:rPr>
        <w:t xml:space="preserve">White paper on Artificial Intelligence - A European approach to excellence and trust, </w:t>
      </w:r>
      <w:r w:rsidRPr="0018647A">
        <w:rPr>
          <w:sz w:val="24"/>
          <w:szCs w:val="24"/>
          <w:lang w:val="en-GB"/>
        </w:rPr>
        <w:t xml:space="preserve">Brussels, 19.2.2020, </w:t>
      </w:r>
      <w:proofErr w:type="gramStart"/>
      <w:r w:rsidRPr="0018647A">
        <w:rPr>
          <w:sz w:val="24"/>
          <w:szCs w:val="24"/>
          <w:lang w:val="en-GB"/>
        </w:rPr>
        <w:t>COM(</w:t>
      </w:r>
      <w:proofErr w:type="gramEnd"/>
      <w:r w:rsidRPr="0018647A">
        <w:rPr>
          <w:sz w:val="24"/>
          <w:szCs w:val="24"/>
          <w:lang w:val="en-GB"/>
        </w:rPr>
        <w:t>2020) 65 final</w:t>
      </w:r>
      <w:r>
        <w:rPr>
          <w:sz w:val="24"/>
          <w:szCs w:val="24"/>
          <w:lang w:val="en-GB"/>
        </w:rPr>
        <w:t>.</w:t>
      </w:r>
    </w:p>
    <w:p w14:paraId="7D1A9148" w14:textId="77777777" w:rsidR="00651F9B" w:rsidRPr="0018647A" w:rsidRDefault="00651F9B" w:rsidP="00651F9B">
      <w:pPr>
        <w:pStyle w:val="Paragrafoelenco"/>
        <w:ind w:left="360"/>
        <w:jc w:val="both"/>
        <w:rPr>
          <w:sz w:val="24"/>
          <w:szCs w:val="24"/>
          <w:lang w:val="en-GB"/>
        </w:rPr>
      </w:pPr>
    </w:p>
    <w:p w14:paraId="7F447F5F" w14:textId="77777777" w:rsidR="00651F9B" w:rsidRPr="004A6C32" w:rsidRDefault="00651F9B" w:rsidP="00651F9B">
      <w:pPr>
        <w:pStyle w:val="Paragrafoelenco"/>
        <w:numPr>
          <w:ilvl w:val="0"/>
          <w:numId w:val="15"/>
        </w:numPr>
        <w:jc w:val="both"/>
        <w:rPr>
          <w:sz w:val="24"/>
          <w:szCs w:val="24"/>
          <w:lang w:val="en-GB"/>
        </w:rPr>
      </w:pPr>
      <w:r w:rsidRPr="0018647A">
        <w:rPr>
          <w:smallCaps/>
          <w:sz w:val="24"/>
          <w:szCs w:val="24"/>
          <w:lang w:val="en-GB"/>
        </w:rPr>
        <w:t>European Commission</w:t>
      </w:r>
      <w:r w:rsidRPr="0018647A">
        <w:rPr>
          <w:sz w:val="24"/>
          <w:szCs w:val="24"/>
          <w:lang w:val="en-GB"/>
        </w:rPr>
        <w:t xml:space="preserve">, </w:t>
      </w:r>
      <w:r w:rsidRPr="0018647A">
        <w:rPr>
          <w:i/>
          <w:iCs/>
          <w:sz w:val="24"/>
          <w:szCs w:val="24"/>
          <w:lang w:val="en-GB"/>
        </w:rPr>
        <w:t xml:space="preserve">A European strategy for data, </w:t>
      </w:r>
      <w:r w:rsidRPr="0018647A">
        <w:rPr>
          <w:sz w:val="24"/>
          <w:szCs w:val="24"/>
          <w:lang w:val="en-GB"/>
        </w:rPr>
        <w:t xml:space="preserve">Brussels, 19.2.2020 </w:t>
      </w:r>
      <w:proofErr w:type="gramStart"/>
      <w:r w:rsidRPr="0018647A">
        <w:rPr>
          <w:sz w:val="24"/>
          <w:szCs w:val="24"/>
          <w:lang w:val="en-GB"/>
        </w:rPr>
        <w:t>COM(</w:t>
      </w:r>
      <w:proofErr w:type="gramEnd"/>
      <w:r w:rsidRPr="0018647A">
        <w:rPr>
          <w:sz w:val="24"/>
          <w:szCs w:val="24"/>
          <w:lang w:val="en-GB"/>
        </w:rPr>
        <w:t>2020) 66 final</w:t>
      </w:r>
      <w:r>
        <w:rPr>
          <w:sz w:val="24"/>
          <w:szCs w:val="24"/>
          <w:lang w:val="en-GB"/>
        </w:rPr>
        <w:t>.</w:t>
      </w:r>
    </w:p>
    <w:p w14:paraId="01D76869" w14:textId="77777777" w:rsidR="00651F9B" w:rsidRPr="0018647A" w:rsidRDefault="00651F9B" w:rsidP="00651F9B">
      <w:pPr>
        <w:pStyle w:val="Paragrafoelenco"/>
        <w:rPr>
          <w:sz w:val="24"/>
          <w:szCs w:val="24"/>
          <w:lang w:val="en-GB"/>
        </w:rPr>
      </w:pPr>
    </w:p>
    <w:p w14:paraId="3FCD323A" w14:textId="77777777" w:rsidR="00651F9B"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Frosio</w:t>
      </w:r>
      <w:proofErr w:type="spellEnd"/>
      <w:r>
        <w:rPr>
          <w:smallCaps/>
          <w:sz w:val="24"/>
          <w:szCs w:val="24"/>
          <w:lang w:val="en-GB"/>
        </w:rPr>
        <w:t xml:space="preserve"> G.</w:t>
      </w:r>
      <w:r w:rsidRPr="0018647A">
        <w:rPr>
          <w:sz w:val="24"/>
          <w:szCs w:val="24"/>
          <w:lang w:val="en-GB"/>
        </w:rPr>
        <w:t xml:space="preserve">, </w:t>
      </w:r>
      <w:r w:rsidRPr="0018647A">
        <w:rPr>
          <w:i/>
          <w:iCs/>
          <w:sz w:val="24"/>
          <w:szCs w:val="24"/>
          <w:lang w:val="en-GB"/>
        </w:rPr>
        <w:t xml:space="preserve">Sharing or Platform Urban Mobility? </w:t>
      </w:r>
      <w:proofErr w:type="spellStart"/>
      <w:r w:rsidRPr="0018647A">
        <w:rPr>
          <w:i/>
          <w:iCs/>
          <w:sz w:val="24"/>
          <w:szCs w:val="24"/>
          <w:lang w:val="en-GB"/>
        </w:rPr>
        <w:t>Propertization</w:t>
      </w:r>
      <w:proofErr w:type="spellEnd"/>
      <w:r w:rsidRPr="0018647A">
        <w:rPr>
          <w:i/>
          <w:iCs/>
          <w:sz w:val="24"/>
          <w:szCs w:val="24"/>
          <w:lang w:val="en-GB"/>
        </w:rPr>
        <w:t xml:space="preserve"> from Mass to </w:t>
      </w:r>
      <w:proofErr w:type="spellStart"/>
      <w:r w:rsidRPr="0018647A">
        <w:rPr>
          <w:i/>
          <w:iCs/>
          <w:sz w:val="24"/>
          <w:szCs w:val="24"/>
          <w:lang w:val="en-GB"/>
        </w:rPr>
        <w:t>MaaS</w:t>
      </w:r>
      <w:proofErr w:type="spellEnd"/>
      <w:r w:rsidRPr="0018647A">
        <w:rPr>
          <w:sz w:val="24"/>
          <w:szCs w:val="24"/>
          <w:lang w:val="en-GB"/>
        </w:rPr>
        <w:t xml:space="preserve">, in </w:t>
      </w:r>
      <w:r w:rsidRPr="0018647A">
        <w:rPr>
          <w:smallCaps/>
          <w:sz w:val="24"/>
          <w:szCs w:val="24"/>
          <w:lang w:val="en-GB"/>
        </w:rPr>
        <w:t xml:space="preserve">M. </w:t>
      </w:r>
      <w:proofErr w:type="spellStart"/>
      <w:r w:rsidRPr="0018647A">
        <w:rPr>
          <w:smallCaps/>
          <w:sz w:val="24"/>
          <w:szCs w:val="24"/>
          <w:lang w:val="en-GB"/>
        </w:rPr>
        <w:t>Finck</w:t>
      </w:r>
      <w:proofErr w:type="spellEnd"/>
      <w:r w:rsidRPr="0018647A">
        <w:rPr>
          <w:smallCaps/>
          <w:sz w:val="24"/>
          <w:szCs w:val="24"/>
          <w:lang w:val="en-GB"/>
        </w:rPr>
        <w:t xml:space="preserve">, M. Lamping, V. </w:t>
      </w:r>
      <w:proofErr w:type="spellStart"/>
      <w:r w:rsidRPr="0018647A">
        <w:rPr>
          <w:smallCaps/>
          <w:sz w:val="24"/>
          <w:szCs w:val="24"/>
          <w:lang w:val="en-GB"/>
        </w:rPr>
        <w:t>Moscon</w:t>
      </w:r>
      <w:proofErr w:type="spellEnd"/>
      <w:r w:rsidRPr="0018647A">
        <w:rPr>
          <w:smallCaps/>
          <w:sz w:val="24"/>
          <w:szCs w:val="24"/>
          <w:lang w:val="en-GB"/>
        </w:rPr>
        <w:t>, H. Richter</w:t>
      </w:r>
      <w:r w:rsidRPr="0018647A">
        <w:rPr>
          <w:sz w:val="24"/>
          <w:szCs w:val="24"/>
          <w:lang w:val="en-GB"/>
        </w:rPr>
        <w:t xml:space="preserve"> (eds.), </w:t>
      </w:r>
      <w:r w:rsidRPr="0018647A">
        <w:rPr>
          <w:i/>
          <w:iCs/>
          <w:sz w:val="24"/>
          <w:szCs w:val="24"/>
          <w:lang w:val="en-GB"/>
        </w:rPr>
        <w:t xml:space="preserve">Smart Urban Mobility, </w:t>
      </w:r>
      <w:r w:rsidRPr="0018647A">
        <w:rPr>
          <w:sz w:val="24"/>
          <w:szCs w:val="24"/>
          <w:lang w:val="en-GB"/>
        </w:rPr>
        <w:t>Springer, 2020, forthcoming</w:t>
      </w:r>
      <w:r>
        <w:rPr>
          <w:sz w:val="24"/>
          <w:szCs w:val="24"/>
          <w:lang w:val="en-GB"/>
        </w:rPr>
        <w:t>.</w:t>
      </w:r>
    </w:p>
    <w:p w14:paraId="3E0CA9BF" w14:textId="77777777" w:rsidR="00651F9B" w:rsidRPr="004A6C32" w:rsidRDefault="00651F9B" w:rsidP="00651F9B">
      <w:pPr>
        <w:pStyle w:val="Testonotaapidipagina"/>
        <w:numPr>
          <w:ilvl w:val="0"/>
          <w:numId w:val="15"/>
        </w:numPr>
        <w:jc w:val="both"/>
        <w:rPr>
          <w:sz w:val="24"/>
          <w:szCs w:val="24"/>
          <w:lang w:val="en-GB"/>
        </w:rPr>
      </w:pPr>
      <w:r w:rsidRPr="0018647A">
        <w:rPr>
          <w:smallCaps/>
          <w:sz w:val="24"/>
          <w:szCs w:val="24"/>
          <w:lang w:val="en-GB"/>
        </w:rPr>
        <w:t>Geiger</w:t>
      </w:r>
      <w:r>
        <w:rPr>
          <w:smallCaps/>
          <w:sz w:val="24"/>
          <w:szCs w:val="24"/>
          <w:lang w:val="en-GB"/>
        </w:rPr>
        <w:t xml:space="preserve"> C</w:t>
      </w:r>
      <w:r w:rsidRPr="0018647A">
        <w:rPr>
          <w:smallCaps/>
          <w:sz w:val="24"/>
          <w:szCs w:val="24"/>
          <w:lang w:val="en-GB"/>
        </w:rPr>
        <w:t xml:space="preserve">, </w:t>
      </w:r>
      <w:proofErr w:type="spellStart"/>
      <w:r w:rsidRPr="0018647A">
        <w:rPr>
          <w:smallCaps/>
          <w:sz w:val="24"/>
          <w:szCs w:val="24"/>
          <w:lang w:val="en-GB"/>
        </w:rPr>
        <w:t>Frosio</w:t>
      </w:r>
      <w:proofErr w:type="spellEnd"/>
      <w:r>
        <w:rPr>
          <w:smallCaps/>
          <w:sz w:val="24"/>
          <w:szCs w:val="24"/>
          <w:lang w:val="en-GB"/>
        </w:rPr>
        <w:t xml:space="preserve"> G.</w:t>
      </w:r>
      <w:r w:rsidRPr="0018647A">
        <w:rPr>
          <w:smallCaps/>
          <w:sz w:val="24"/>
          <w:szCs w:val="24"/>
          <w:lang w:val="en-GB"/>
        </w:rPr>
        <w:t xml:space="preserve">, </w:t>
      </w:r>
      <w:proofErr w:type="spellStart"/>
      <w:r w:rsidRPr="0018647A">
        <w:rPr>
          <w:smallCaps/>
          <w:sz w:val="24"/>
          <w:szCs w:val="24"/>
          <w:lang w:val="en-GB"/>
        </w:rPr>
        <w:t>Bulayenko</w:t>
      </w:r>
      <w:proofErr w:type="spellEnd"/>
      <w:r>
        <w:rPr>
          <w:smallCaps/>
          <w:sz w:val="24"/>
          <w:szCs w:val="24"/>
          <w:lang w:val="en-GB"/>
        </w:rPr>
        <w:t xml:space="preserve"> O.</w:t>
      </w:r>
      <w:r w:rsidRPr="0018647A">
        <w:rPr>
          <w:sz w:val="24"/>
          <w:szCs w:val="24"/>
          <w:lang w:val="en-GB"/>
        </w:rPr>
        <w:t xml:space="preserve">, </w:t>
      </w:r>
      <w:r w:rsidRPr="0018647A">
        <w:rPr>
          <w:i/>
          <w:iCs/>
          <w:sz w:val="24"/>
          <w:szCs w:val="24"/>
          <w:lang w:val="en-GB"/>
        </w:rPr>
        <w:t>Facilitating Wider Access to Europe’s Cultural Heritage in the Digital Environment: Opinion of the CEIPI on the European Commission’s Copyright Reform Proposal, with a Focus on Access to Out-of-Commerce Works</w:t>
      </w:r>
      <w:r w:rsidRPr="0018647A">
        <w:rPr>
          <w:sz w:val="24"/>
          <w:szCs w:val="24"/>
          <w:lang w:val="en-GB"/>
        </w:rPr>
        <w:t>, Centre for International Intellectual Property Studies (CEIPI) Research Paper No. 2018-11</w:t>
      </w:r>
      <w:r>
        <w:rPr>
          <w:sz w:val="24"/>
          <w:szCs w:val="24"/>
          <w:lang w:val="en-GB"/>
        </w:rPr>
        <w:t>.</w:t>
      </w:r>
      <w:r w:rsidRPr="0018647A">
        <w:rPr>
          <w:sz w:val="24"/>
          <w:szCs w:val="24"/>
          <w:lang w:val="en-GB"/>
        </w:rPr>
        <w:t xml:space="preserve">  </w:t>
      </w:r>
    </w:p>
    <w:p w14:paraId="06D8EA98" w14:textId="77777777" w:rsidR="00651F9B" w:rsidRPr="0018647A" w:rsidRDefault="00651F9B" w:rsidP="00651F9B">
      <w:pPr>
        <w:pStyle w:val="Paragrafoelenco"/>
        <w:ind w:left="360"/>
        <w:jc w:val="both"/>
        <w:rPr>
          <w:sz w:val="24"/>
          <w:szCs w:val="24"/>
          <w:lang w:val="en-GB"/>
        </w:rPr>
      </w:pPr>
    </w:p>
    <w:p w14:paraId="4AAC7367"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Geiger</w:t>
      </w:r>
      <w:r>
        <w:rPr>
          <w:smallCaps/>
          <w:sz w:val="24"/>
          <w:szCs w:val="24"/>
          <w:lang w:val="en-GB"/>
        </w:rPr>
        <w:t xml:space="preserve"> C.</w:t>
      </w:r>
      <w:r w:rsidRPr="0018647A">
        <w:rPr>
          <w:smallCaps/>
          <w:sz w:val="24"/>
          <w:szCs w:val="24"/>
          <w:lang w:val="en-GB"/>
        </w:rPr>
        <w:t xml:space="preserve">, </w:t>
      </w:r>
      <w:proofErr w:type="spellStart"/>
      <w:r w:rsidRPr="0018647A">
        <w:rPr>
          <w:smallCaps/>
          <w:sz w:val="24"/>
          <w:szCs w:val="24"/>
          <w:lang w:val="en-GB"/>
        </w:rPr>
        <w:t>Frosio</w:t>
      </w:r>
      <w:proofErr w:type="spellEnd"/>
      <w:r>
        <w:rPr>
          <w:smallCaps/>
          <w:sz w:val="24"/>
          <w:szCs w:val="24"/>
          <w:lang w:val="en-GB"/>
        </w:rPr>
        <w:t xml:space="preserve"> G</w:t>
      </w:r>
      <w:r w:rsidRPr="0018647A">
        <w:rPr>
          <w:smallCaps/>
          <w:sz w:val="24"/>
          <w:szCs w:val="24"/>
          <w:lang w:val="en-GB"/>
        </w:rPr>
        <w:t xml:space="preserve">, </w:t>
      </w:r>
      <w:proofErr w:type="spellStart"/>
      <w:r w:rsidRPr="0018647A">
        <w:rPr>
          <w:smallCaps/>
          <w:sz w:val="24"/>
          <w:szCs w:val="24"/>
          <w:lang w:val="en-GB"/>
        </w:rPr>
        <w:t>Bulayenko</w:t>
      </w:r>
      <w:proofErr w:type="spellEnd"/>
      <w:r>
        <w:rPr>
          <w:smallCaps/>
          <w:sz w:val="24"/>
          <w:szCs w:val="24"/>
          <w:lang w:val="en-GB"/>
        </w:rPr>
        <w:t xml:space="preserve"> O.</w:t>
      </w:r>
      <w:r w:rsidRPr="0018647A">
        <w:rPr>
          <w:sz w:val="24"/>
          <w:szCs w:val="24"/>
          <w:lang w:val="en-GB"/>
        </w:rPr>
        <w:t xml:space="preserve">, </w:t>
      </w:r>
      <w:proofErr w:type="gramStart"/>
      <w:r w:rsidRPr="0018647A">
        <w:rPr>
          <w:i/>
          <w:iCs/>
          <w:sz w:val="24"/>
          <w:szCs w:val="24"/>
          <w:lang w:val="en-GB"/>
        </w:rPr>
        <w:t>Text</w:t>
      </w:r>
      <w:proofErr w:type="gramEnd"/>
      <w:r w:rsidRPr="0018647A">
        <w:rPr>
          <w:i/>
          <w:iCs/>
          <w:sz w:val="24"/>
          <w:szCs w:val="24"/>
          <w:lang w:val="en-GB"/>
        </w:rPr>
        <w:t xml:space="preserve"> and Data Mining: articles 3 and 4 of the Directive 2019/790/EU</w:t>
      </w:r>
      <w:r w:rsidRPr="0018647A">
        <w:rPr>
          <w:sz w:val="24"/>
          <w:szCs w:val="24"/>
          <w:lang w:val="en-GB"/>
        </w:rPr>
        <w:t>, Centre for International Intellectual Property Studies (CEIPI) Research Paper No. 2019-08</w:t>
      </w:r>
      <w:r>
        <w:rPr>
          <w:sz w:val="24"/>
          <w:szCs w:val="24"/>
          <w:lang w:val="en-GB"/>
        </w:rPr>
        <w:t>.</w:t>
      </w:r>
    </w:p>
    <w:p w14:paraId="54D41A5F" w14:textId="77777777" w:rsidR="00651F9B" w:rsidRPr="0018647A" w:rsidRDefault="00651F9B" w:rsidP="00651F9B">
      <w:pPr>
        <w:pStyle w:val="Paragrafoelenco"/>
        <w:ind w:left="360"/>
        <w:jc w:val="both"/>
        <w:rPr>
          <w:sz w:val="24"/>
          <w:szCs w:val="24"/>
          <w:lang w:val="en-GB"/>
        </w:rPr>
      </w:pPr>
    </w:p>
    <w:p w14:paraId="68049430"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 xml:space="preserve">Goodfellow </w:t>
      </w:r>
      <w:r>
        <w:rPr>
          <w:smallCaps/>
          <w:sz w:val="24"/>
          <w:szCs w:val="24"/>
          <w:lang w:val="en-GB"/>
        </w:rPr>
        <w:t xml:space="preserve">I.J. </w:t>
      </w:r>
      <w:r w:rsidRPr="0018647A">
        <w:rPr>
          <w:smallCaps/>
          <w:sz w:val="24"/>
          <w:szCs w:val="24"/>
          <w:lang w:val="en-GB"/>
        </w:rPr>
        <w:t>et al.,</w:t>
      </w:r>
      <w:r w:rsidRPr="0018647A">
        <w:rPr>
          <w:sz w:val="24"/>
          <w:szCs w:val="24"/>
          <w:lang w:val="en-GB"/>
        </w:rPr>
        <w:t xml:space="preserve"> </w:t>
      </w:r>
      <w:r w:rsidRPr="0018647A">
        <w:rPr>
          <w:i/>
          <w:iCs/>
          <w:sz w:val="24"/>
          <w:szCs w:val="24"/>
          <w:lang w:val="en-GB"/>
        </w:rPr>
        <w:t xml:space="preserve">Generative Adversarial </w:t>
      </w:r>
      <w:proofErr w:type="spellStart"/>
      <w:r w:rsidRPr="0018647A">
        <w:rPr>
          <w:i/>
          <w:iCs/>
          <w:sz w:val="24"/>
          <w:szCs w:val="24"/>
          <w:lang w:val="en-GB"/>
        </w:rPr>
        <w:t>Netwoks</w:t>
      </w:r>
      <w:proofErr w:type="spellEnd"/>
      <w:r w:rsidRPr="0018647A">
        <w:rPr>
          <w:sz w:val="24"/>
          <w:szCs w:val="24"/>
          <w:lang w:val="en-GB"/>
        </w:rPr>
        <w:t xml:space="preserve">, 2014, available at </w:t>
      </w:r>
      <w:hyperlink r:id="rId10" w:history="1">
        <w:r w:rsidRPr="0018647A">
          <w:rPr>
            <w:rStyle w:val="Collegamentoipertestuale"/>
            <w:sz w:val="24"/>
            <w:szCs w:val="24"/>
            <w:lang w:val="en-GB"/>
          </w:rPr>
          <w:t>https://arxiv.org/abs/1406.2661</w:t>
        </w:r>
      </w:hyperlink>
      <w:r w:rsidRPr="0018647A">
        <w:rPr>
          <w:rStyle w:val="Collegamentoipertestuale"/>
          <w:color w:val="auto"/>
          <w:sz w:val="24"/>
          <w:szCs w:val="24"/>
          <w:u w:val="none"/>
          <w:lang w:val="en-GB"/>
        </w:rPr>
        <w:t>,</w:t>
      </w:r>
      <w:r w:rsidRPr="0018647A">
        <w:rPr>
          <w:rStyle w:val="Collegamentoipertestuale"/>
          <w:sz w:val="24"/>
          <w:szCs w:val="24"/>
          <w:lang w:val="en-GB"/>
        </w:rPr>
        <w:t xml:space="preserve"> </w:t>
      </w:r>
      <w:r w:rsidRPr="0018647A">
        <w:rPr>
          <w:rStyle w:val="Collegamentoipertestuale"/>
          <w:color w:val="auto"/>
          <w:sz w:val="24"/>
          <w:szCs w:val="24"/>
          <w:u w:val="none"/>
          <w:lang w:val="en-GB"/>
        </w:rPr>
        <w:t xml:space="preserve">last accessed on </w:t>
      </w:r>
      <w:r>
        <w:rPr>
          <w:rStyle w:val="Collegamentoipertestuale"/>
          <w:color w:val="auto"/>
          <w:sz w:val="24"/>
          <w:szCs w:val="24"/>
          <w:u w:val="none"/>
          <w:lang w:val="en-GB"/>
        </w:rPr>
        <w:t xml:space="preserve">25 </w:t>
      </w:r>
      <w:r w:rsidRPr="0018647A">
        <w:rPr>
          <w:rStyle w:val="Collegamentoipertestuale"/>
          <w:color w:val="auto"/>
          <w:sz w:val="24"/>
          <w:szCs w:val="24"/>
          <w:u w:val="none"/>
          <w:lang w:val="en-GB"/>
        </w:rPr>
        <w:t>July 2020</w:t>
      </w:r>
      <w:r>
        <w:rPr>
          <w:rStyle w:val="Collegamentoipertestuale"/>
          <w:color w:val="auto"/>
          <w:sz w:val="24"/>
          <w:szCs w:val="24"/>
          <w:u w:val="none"/>
          <w:lang w:val="en-GB"/>
        </w:rPr>
        <w:t>.</w:t>
      </w:r>
    </w:p>
    <w:p w14:paraId="12B5E1F0" w14:textId="77777777" w:rsidR="00651F9B" w:rsidRPr="0018647A" w:rsidRDefault="00651F9B" w:rsidP="00651F9B">
      <w:pPr>
        <w:pStyle w:val="Paragrafoelenco"/>
        <w:rPr>
          <w:sz w:val="24"/>
          <w:szCs w:val="24"/>
          <w:lang w:val="en-GB"/>
        </w:rPr>
      </w:pPr>
    </w:p>
    <w:p w14:paraId="66A96843"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lastRenderedPageBreak/>
        <w:t>Jasiewicz</w:t>
      </w:r>
      <w:proofErr w:type="spellEnd"/>
      <w:r>
        <w:rPr>
          <w:smallCaps/>
          <w:sz w:val="24"/>
          <w:szCs w:val="24"/>
          <w:lang w:val="en-GB"/>
        </w:rPr>
        <w:t xml:space="preserve"> M.I.</w:t>
      </w:r>
      <w:r w:rsidRPr="0018647A">
        <w:rPr>
          <w:smallCaps/>
          <w:sz w:val="24"/>
          <w:szCs w:val="24"/>
          <w:lang w:val="en-GB"/>
        </w:rPr>
        <w:t>,</w:t>
      </w:r>
      <w:r w:rsidRPr="0018647A">
        <w:rPr>
          <w:sz w:val="24"/>
          <w:szCs w:val="24"/>
          <w:lang w:val="en-GB"/>
        </w:rPr>
        <w:t xml:space="preserve"> </w:t>
      </w:r>
      <w:r w:rsidRPr="0018647A">
        <w:rPr>
          <w:i/>
          <w:iCs/>
          <w:sz w:val="24"/>
          <w:szCs w:val="24"/>
          <w:lang w:val="en-GB"/>
        </w:rPr>
        <w:t>Copyright Protection in an Opt-Out World: Implied License Doctrine and News Aggregators</w:t>
      </w:r>
      <w:r w:rsidRPr="0018647A">
        <w:rPr>
          <w:sz w:val="24"/>
          <w:szCs w:val="24"/>
          <w:lang w:val="en-GB"/>
        </w:rPr>
        <w:t xml:space="preserve">, in </w:t>
      </w:r>
      <w:r w:rsidRPr="0018647A">
        <w:rPr>
          <w:i/>
          <w:iCs/>
          <w:sz w:val="24"/>
          <w:szCs w:val="24"/>
          <w:lang w:val="en-GB"/>
        </w:rPr>
        <w:t>The Yale Law Journal</w:t>
      </w:r>
      <w:r w:rsidRPr="0018647A">
        <w:rPr>
          <w:sz w:val="24"/>
          <w:szCs w:val="24"/>
          <w:lang w:val="en-GB"/>
        </w:rPr>
        <w:t>, 2012, Vol. 122, No. 3, p. 837 ff.</w:t>
      </w:r>
    </w:p>
    <w:p w14:paraId="0C11B566" w14:textId="77777777" w:rsidR="00651F9B" w:rsidRPr="0018647A" w:rsidRDefault="00651F9B" w:rsidP="00651F9B">
      <w:pPr>
        <w:pStyle w:val="Paragrafoelenco"/>
        <w:rPr>
          <w:sz w:val="24"/>
          <w:szCs w:val="24"/>
          <w:lang w:val="en-GB"/>
        </w:rPr>
      </w:pPr>
    </w:p>
    <w:p w14:paraId="1E68C27A"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Martens</w:t>
      </w:r>
      <w:r>
        <w:rPr>
          <w:smallCaps/>
          <w:sz w:val="24"/>
          <w:szCs w:val="24"/>
          <w:lang w:val="en-GB"/>
        </w:rPr>
        <w:t xml:space="preserve"> B.</w:t>
      </w:r>
      <w:r w:rsidRPr="0018647A">
        <w:rPr>
          <w:smallCaps/>
          <w:sz w:val="24"/>
          <w:szCs w:val="24"/>
          <w:lang w:val="en-GB"/>
        </w:rPr>
        <w:t>,</w:t>
      </w:r>
      <w:r w:rsidRPr="0018647A">
        <w:rPr>
          <w:sz w:val="24"/>
          <w:szCs w:val="24"/>
          <w:lang w:val="en-GB"/>
        </w:rPr>
        <w:t xml:space="preserve"> </w:t>
      </w:r>
      <w:r w:rsidRPr="0018647A">
        <w:rPr>
          <w:i/>
          <w:iCs/>
          <w:sz w:val="24"/>
          <w:szCs w:val="24"/>
          <w:lang w:val="en-GB"/>
        </w:rPr>
        <w:t>The impact of data access regimes on artificial intelligence and machine learning</w:t>
      </w:r>
      <w:r w:rsidRPr="0018647A">
        <w:rPr>
          <w:sz w:val="24"/>
          <w:szCs w:val="24"/>
          <w:lang w:val="en-GB"/>
        </w:rPr>
        <w:t>, Digital Economy Working Paper</w:t>
      </w:r>
      <w:r>
        <w:rPr>
          <w:sz w:val="24"/>
          <w:szCs w:val="24"/>
          <w:lang w:val="en-GB"/>
        </w:rPr>
        <w:t>,</w:t>
      </w:r>
      <w:r w:rsidRPr="0018647A">
        <w:rPr>
          <w:sz w:val="24"/>
          <w:szCs w:val="24"/>
          <w:lang w:val="en-GB"/>
        </w:rPr>
        <w:t xml:space="preserve"> 2018-09, JRC Technical Reports, </w:t>
      </w:r>
      <w:hyperlink r:id="rId11" w:history="1">
        <w:r w:rsidRPr="0018647A">
          <w:rPr>
            <w:rStyle w:val="Collegamentoipertestuale"/>
            <w:sz w:val="24"/>
            <w:szCs w:val="24"/>
            <w:lang w:val="en-GB"/>
          </w:rPr>
          <w:t>http://hdl.handle.net/10419/202237</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p>
    <w:p w14:paraId="33F9938B" w14:textId="77777777" w:rsidR="00651F9B" w:rsidRPr="0018647A" w:rsidRDefault="00651F9B" w:rsidP="00651F9B">
      <w:pPr>
        <w:pStyle w:val="Paragrafoelenco"/>
        <w:ind w:left="360"/>
        <w:jc w:val="both"/>
        <w:rPr>
          <w:sz w:val="24"/>
          <w:szCs w:val="24"/>
          <w:lang w:val="en-GB"/>
        </w:rPr>
      </w:pPr>
    </w:p>
    <w:p w14:paraId="089E1171" w14:textId="77777777" w:rsidR="00651F9B" w:rsidRPr="0018647A" w:rsidRDefault="00651F9B" w:rsidP="00651F9B">
      <w:pPr>
        <w:pStyle w:val="Paragrafoelenco"/>
        <w:numPr>
          <w:ilvl w:val="0"/>
          <w:numId w:val="15"/>
        </w:numPr>
        <w:jc w:val="both"/>
        <w:rPr>
          <w:sz w:val="24"/>
          <w:szCs w:val="24"/>
        </w:rPr>
      </w:pPr>
      <w:r w:rsidRPr="0018647A">
        <w:rPr>
          <w:smallCaps/>
          <w:sz w:val="24"/>
          <w:szCs w:val="24"/>
        </w:rPr>
        <w:t>Mezzanotte</w:t>
      </w:r>
      <w:r>
        <w:rPr>
          <w:smallCaps/>
          <w:sz w:val="24"/>
          <w:szCs w:val="24"/>
        </w:rPr>
        <w:t xml:space="preserve"> F.</w:t>
      </w:r>
      <w:r w:rsidRPr="0018647A">
        <w:rPr>
          <w:sz w:val="24"/>
          <w:szCs w:val="24"/>
        </w:rPr>
        <w:t xml:space="preserve">, </w:t>
      </w:r>
      <w:r w:rsidRPr="0018647A">
        <w:rPr>
          <w:i/>
          <w:iCs/>
          <w:sz w:val="24"/>
          <w:szCs w:val="24"/>
        </w:rPr>
        <w:t xml:space="preserve">Le </w:t>
      </w:r>
      <w:r w:rsidRPr="0018647A">
        <w:rPr>
          <w:rFonts w:cstheme="minorHAnsi"/>
          <w:i/>
          <w:iCs/>
          <w:sz w:val="24"/>
          <w:szCs w:val="24"/>
        </w:rPr>
        <w:t>«</w:t>
      </w:r>
      <w:r w:rsidRPr="0018647A">
        <w:rPr>
          <w:i/>
          <w:iCs/>
          <w:sz w:val="24"/>
          <w:szCs w:val="24"/>
        </w:rPr>
        <w:t>eccezioni e limitazioni</w:t>
      </w:r>
      <w:r w:rsidRPr="0018647A">
        <w:rPr>
          <w:rFonts w:cstheme="minorHAnsi"/>
          <w:i/>
          <w:iCs/>
          <w:sz w:val="24"/>
          <w:szCs w:val="24"/>
        </w:rPr>
        <w:t>»</w:t>
      </w:r>
      <w:r w:rsidRPr="0018647A">
        <w:rPr>
          <w:i/>
          <w:iCs/>
          <w:sz w:val="24"/>
          <w:szCs w:val="24"/>
        </w:rPr>
        <w:t xml:space="preserve"> al diritto d’autore UE (parte II: Le libere utilizzazioni nell’ambiente digitale</w:t>
      </w:r>
      <w:r w:rsidRPr="0018647A">
        <w:rPr>
          <w:sz w:val="24"/>
          <w:szCs w:val="24"/>
        </w:rPr>
        <w:t>, in</w:t>
      </w:r>
      <w:r w:rsidRPr="0018647A">
        <w:rPr>
          <w:i/>
          <w:iCs/>
          <w:sz w:val="24"/>
          <w:szCs w:val="24"/>
        </w:rPr>
        <w:t xml:space="preserve"> AIDA</w:t>
      </w:r>
      <w:r w:rsidRPr="0018647A">
        <w:rPr>
          <w:sz w:val="24"/>
          <w:szCs w:val="24"/>
        </w:rPr>
        <w:t xml:space="preserve"> 2017, p. 300 </w:t>
      </w:r>
      <w:proofErr w:type="spellStart"/>
      <w:r w:rsidRPr="0018647A">
        <w:rPr>
          <w:sz w:val="24"/>
          <w:szCs w:val="24"/>
        </w:rPr>
        <w:t>ff</w:t>
      </w:r>
      <w:proofErr w:type="spellEnd"/>
      <w:r w:rsidRPr="0018647A">
        <w:rPr>
          <w:sz w:val="24"/>
          <w:szCs w:val="24"/>
        </w:rPr>
        <w:t>.</w:t>
      </w:r>
    </w:p>
    <w:p w14:paraId="330FDCA4" w14:textId="77777777" w:rsidR="00651F9B" w:rsidRPr="0018647A" w:rsidRDefault="00651F9B" w:rsidP="00651F9B">
      <w:pPr>
        <w:pStyle w:val="Paragrafoelenco"/>
        <w:rPr>
          <w:sz w:val="24"/>
          <w:szCs w:val="24"/>
        </w:rPr>
      </w:pPr>
    </w:p>
    <w:p w14:paraId="02904916" w14:textId="77777777" w:rsidR="00651F9B" w:rsidRPr="0018647A" w:rsidRDefault="00651F9B" w:rsidP="00651F9B">
      <w:pPr>
        <w:pStyle w:val="Paragrafoelenco"/>
        <w:numPr>
          <w:ilvl w:val="0"/>
          <w:numId w:val="15"/>
        </w:numPr>
        <w:jc w:val="both"/>
        <w:rPr>
          <w:sz w:val="24"/>
          <w:szCs w:val="24"/>
        </w:rPr>
      </w:pPr>
      <w:r w:rsidRPr="0018647A">
        <w:rPr>
          <w:smallCaps/>
          <w:sz w:val="24"/>
          <w:szCs w:val="24"/>
        </w:rPr>
        <w:t>Montagnani</w:t>
      </w:r>
      <w:r>
        <w:rPr>
          <w:smallCaps/>
          <w:sz w:val="24"/>
          <w:szCs w:val="24"/>
        </w:rPr>
        <w:t xml:space="preserve"> </w:t>
      </w:r>
      <w:r w:rsidRPr="0018647A">
        <w:rPr>
          <w:smallCaps/>
          <w:sz w:val="24"/>
          <w:szCs w:val="24"/>
        </w:rPr>
        <w:t>M.L., Aime</w:t>
      </w:r>
      <w:r>
        <w:rPr>
          <w:smallCaps/>
          <w:sz w:val="24"/>
          <w:szCs w:val="24"/>
        </w:rPr>
        <w:t xml:space="preserve"> G.</w:t>
      </w:r>
      <w:r w:rsidRPr="0018647A">
        <w:rPr>
          <w:sz w:val="24"/>
          <w:szCs w:val="24"/>
        </w:rPr>
        <w:t xml:space="preserve">, </w:t>
      </w:r>
      <w:r w:rsidRPr="0018647A">
        <w:rPr>
          <w:i/>
          <w:iCs/>
          <w:sz w:val="24"/>
          <w:szCs w:val="24"/>
        </w:rPr>
        <w:t>Il text and data mining e il diritto d’autore</w:t>
      </w:r>
      <w:r w:rsidRPr="0018647A">
        <w:rPr>
          <w:sz w:val="24"/>
          <w:szCs w:val="24"/>
        </w:rPr>
        <w:t xml:space="preserve">, in </w:t>
      </w:r>
      <w:r w:rsidRPr="0018647A">
        <w:rPr>
          <w:i/>
          <w:iCs/>
          <w:sz w:val="24"/>
          <w:szCs w:val="24"/>
        </w:rPr>
        <w:t>AIDA</w:t>
      </w:r>
      <w:r w:rsidRPr="0018647A">
        <w:rPr>
          <w:sz w:val="24"/>
          <w:szCs w:val="24"/>
        </w:rPr>
        <w:t xml:space="preserve"> 2017, p. 376 </w:t>
      </w:r>
      <w:proofErr w:type="spellStart"/>
      <w:r w:rsidRPr="0018647A">
        <w:rPr>
          <w:sz w:val="24"/>
          <w:szCs w:val="24"/>
        </w:rPr>
        <w:t>ff</w:t>
      </w:r>
      <w:proofErr w:type="spellEnd"/>
      <w:r w:rsidRPr="0018647A">
        <w:rPr>
          <w:sz w:val="24"/>
          <w:szCs w:val="24"/>
        </w:rPr>
        <w:t>.</w:t>
      </w:r>
    </w:p>
    <w:p w14:paraId="74508BBC" w14:textId="77777777" w:rsidR="00651F9B" w:rsidRPr="0018647A" w:rsidRDefault="00651F9B" w:rsidP="00651F9B">
      <w:pPr>
        <w:pStyle w:val="Paragrafoelenco"/>
        <w:rPr>
          <w:sz w:val="24"/>
          <w:szCs w:val="24"/>
        </w:rPr>
      </w:pPr>
    </w:p>
    <w:p w14:paraId="510D94B9" w14:textId="77777777" w:rsidR="00651F9B" w:rsidRPr="0018647A" w:rsidRDefault="00651F9B" w:rsidP="00651F9B">
      <w:pPr>
        <w:pStyle w:val="Paragrafoelenco"/>
        <w:numPr>
          <w:ilvl w:val="0"/>
          <w:numId w:val="15"/>
        </w:numPr>
        <w:jc w:val="both"/>
        <w:rPr>
          <w:sz w:val="24"/>
          <w:szCs w:val="24"/>
        </w:rPr>
      </w:pPr>
      <w:r w:rsidRPr="0018647A">
        <w:rPr>
          <w:smallCaps/>
          <w:sz w:val="24"/>
          <w:szCs w:val="24"/>
        </w:rPr>
        <w:t>Ottolia</w:t>
      </w:r>
      <w:r>
        <w:rPr>
          <w:smallCaps/>
          <w:sz w:val="24"/>
          <w:szCs w:val="24"/>
        </w:rPr>
        <w:t xml:space="preserve"> A.</w:t>
      </w:r>
      <w:r w:rsidRPr="0018647A">
        <w:rPr>
          <w:smallCaps/>
          <w:sz w:val="24"/>
          <w:szCs w:val="24"/>
        </w:rPr>
        <w:t>,</w:t>
      </w:r>
      <w:r w:rsidRPr="0018647A">
        <w:rPr>
          <w:sz w:val="24"/>
          <w:szCs w:val="24"/>
        </w:rPr>
        <w:t xml:space="preserve"> </w:t>
      </w:r>
      <w:r w:rsidRPr="0018647A">
        <w:rPr>
          <w:i/>
          <w:iCs/>
          <w:sz w:val="24"/>
          <w:szCs w:val="24"/>
        </w:rPr>
        <w:t>L'utilizzo computazionale dell'opera dell'ingegno in internet</w:t>
      </w:r>
      <w:r w:rsidRPr="0018647A">
        <w:rPr>
          <w:sz w:val="24"/>
          <w:szCs w:val="24"/>
        </w:rPr>
        <w:t>, in</w:t>
      </w:r>
      <w:r w:rsidRPr="0018647A">
        <w:rPr>
          <w:i/>
          <w:iCs/>
          <w:sz w:val="24"/>
          <w:szCs w:val="24"/>
        </w:rPr>
        <w:t xml:space="preserve"> AIDA</w:t>
      </w:r>
      <w:r w:rsidRPr="0018647A">
        <w:rPr>
          <w:sz w:val="24"/>
          <w:szCs w:val="24"/>
        </w:rPr>
        <w:t xml:space="preserve"> 2014, p. 386 </w:t>
      </w:r>
      <w:proofErr w:type="spellStart"/>
      <w:r w:rsidRPr="0018647A">
        <w:rPr>
          <w:sz w:val="24"/>
          <w:szCs w:val="24"/>
        </w:rPr>
        <w:t>ff</w:t>
      </w:r>
      <w:proofErr w:type="spellEnd"/>
      <w:r w:rsidRPr="0018647A">
        <w:rPr>
          <w:sz w:val="24"/>
          <w:szCs w:val="24"/>
        </w:rPr>
        <w:t>.</w:t>
      </w:r>
    </w:p>
    <w:p w14:paraId="110F5D7E" w14:textId="77777777" w:rsidR="00651F9B" w:rsidRPr="0018647A" w:rsidRDefault="00651F9B" w:rsidP="00651F9B">
      <w:pPr>
        <w:pStyle w:val="Paragrafoelenco"/>
        <w:rPr>
          <w:sz w:val="24"/>
          <w:szCs w:val="24"/>
        </w:rPr>
      </w:pPr>
    </w:p>
    <w:p w14:paraId="15826DE9"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Pihlajarinne</w:t>
      </w:r>
      <w:proofErr w:type="spellEnd"/>
      <w:r>
        <w:rPr>
          <w:smallCaps/>
          <w:sz w:val="24"/>
          <w:szCs w:val="24"/>
          <w:lang w:val="en-GB"/>
        </w:rPr>
        <w:t xml:space="preserve"> T.</w:t>
      </w:r>
      <w:r w:rsidRPr="0018647A">
        <w:rPr>
          <w:sz w:val="24"/>
          <w:szCs w:val="24"/>
          <w:lang w:val="en-GB"/>
        </w:rPr>
        <w:t xml:space="preserve">, </w:t>
      </w:r>
      <w:r w:rsidRPr="0018647A">
        <w:rPr>
          <w:i/>
          <w:iCs/>
          <w:sz w:val="24"/>
          <w:szCs w:val="24"/>
          <w:lang w:val="en-GB"/>
        </w:rPr>
        <w:t>Setting the Limits for the Implied License in Copyright and Linking Discourse – the European Perspective</w:t>
      </w:r>
      <w:r w:rsidRPr="0018647A">
        <w:rPr>
          <w:sz w:val="24"/>
          <w:szCs w:val="24"/>
          <w:lang w:val="en-GB"/>
        </w:rPr>
        <w:t xml:space="preserve">, in </w:t>
      </w:r>
      <w:r w:rsidRPr="0018647A">
        <w:rPr>
          <w:i/>
          <w:iCs/>
          <w:sz w:val="24"/>
          <w:szCs w:val="24"/>
          <w:lang w:val="en-GB"/>
        </w:rPr>
        <w:t>EIPR</w:t>
      </w:r>
      <w:r w:rsidRPr="0018647A">
        <w:rPr>
          <w:sz w:val="24"/>
          <w:szCs w:val="24"/>
          <w:lang w:val="en-GB"/>
        </w:rPr>
        <w:t xml:space="preserve"> 2012, p. 707 ff.</w:t>
      </w:r>
    </w:p>
    <w:p w14:paraId="47BF53E5" w14:textId="77777777" w:rsidR="00651F9B" w:rsidRPr="0018647A" w:rsidRDefault="00651F9B" w:rsidP="00651F9B">
      <w:pPr>
        <w:pStyle w:val="Paragrafoelenco"/>
        <w:rPr>
          <w:sz w:val="24"/>
          <w:szCs w:val="24"/>
          <w:lang w:val="en-GB"/>
        </w:rPr>
      </w:pPr>
    </w:p>
    <w:p w14:paraId="12024047"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z w:val="24"/>
          <w:szCs w:val="24"/>
          <w:lang w:val="en-GB"/>
        </w:rPr>
        <w:t>R</w:t>
      </w:r>
      <w:r w:rsidRPr="0018647A">
        <w:rPr>
          <w:smallCaps/>
          <w:sz w:val="24"/>
          <w:szCs w:val="24"/>
          <w:lang w:val="en-GB"/>
        </w:rPr>
        <w:t>aue</w:t>
      </w:r>
      <w:proofErr w:type="spellEnd"/>
      <w:r>
        <w:rPr>
          <w:smallCaps/>
          <w:sz w:val="24"/>
          <w:szCs w:val="24"/>
          <w:lang w:val="en-GB"/>
        </w:rPr>
        <w:t xml:space="preserve"> B.</w:t>
      </w:r>
      <w:r w:rsidRPr="0018647A">
        <w:rPr>
          <w:sz w:val="24"/>
          <w:szCs w:val="24"/>
          <w:lang w:val="en-GB"/>
        </w:rPr>
        <w:t xml:space="preserve">, </w:t>
      </w:r>
      <w:r w:rsidRPr="0018647A">
        <w:rPr>
          <w:i/>
          <w:iCs/>
          <w:sz w:val="24"/>
          <w:szCs w:val="24"/>
          <w:lang w:val="en-GB"/>
        </w:rPr>
        <w:t xml:space="preserve">Free Flow of Data? The Friction Between the Commission’s European Data Economy Initiative and the proposed Directive on Copyright in the Digital Single Market, </w:t>
      </w:r>
      <w:r w:rsidRPr="0018647A">
        <w:rPr>
          <w:sz w:val="24"/>
          <w:szCs w:val="24"/>
          <w:lang w:val="en-GB"/>
        </w:rPr>
        <w:t xml:space="preserve">in </w:t>
      </w:r>
      <w:r w:rsidRPr="0018647A">
        <w:rPr>
          <w:i/>
          <w:iCs/>
          <w:sz w:val="24"/>
          <w:szCs w:val="24"/>
          <w:lang w:val="en-GB"/>
        </w:rPr>
        <w:t>IIC</w:t>
      </w:r>
      <w:r>
        <w:rPr>
          <w:i/>
          <w:iCs/>
          <w:sz w:val="24"/>
          <w:szCs w:val="24"/>
          <w:lang w:val="en-GB"/>
        </w:rPr>
        <w:t>,</w:t>
      </w:r>
      <w:r w:rsidRPr="0018647A">
        <w:rPr>
          <w:sz w:val="24"/>
          <w:szCs w:val="24"/>
          <w:lang w:val="en-GB"/>
        </w:rPr>
        <w:t xml:space="preserve"> 2018, p. 379 ff.</w:t>
      </w:r>
    </w:p>
    <w:p w14:paraId="7B688D3A" w14:textId="77777777" w:rsidR="00651F9B" w:rsidRPr="0018647A" w:rsidRDefault="00651F9B" w:rsidP="00651F9B">
      <w:pPr>
        <w:pStyle w:val="Paragrafoelenco"/>
        <w:rPr>
          <w:sz w:val="24"/>
          <w:szCs w:val="24"/>
          <w:lang w:val="en-GB"/>
        </w:rPr>
      </w:pPr>
    </w:p>
    <w:p w14:paraId="74FED511"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Reinsel</w:t>
      </w:r>
      <w:proofErr w:type="spellEnd"/>
      <w:r>
        <w:rPr>
          <w:smallCaps/>
          <w:sz w:val="24"/>
          <w:szCs w:val="24"/>
          <w:lang w:val="en-GB"/>
        </w:rPr>
        <w:t xml:space="preserve"> D.</w:t>
      </w:r>
      <w:r w:rsidRPr="0018647A">
        <w:rPr>
          <w:smallCaps/>
          <w:sz w:val="24"/>
          <w:szCs w:val="24"/>
          <w:lang w:val="en-GB"/>
        </w:rPr>
        <w:t xml:space="preserve">, </w:t>
      </w:r>
      <w:proofErr w:type="spellStart"/>
      <w:r w:rsidRPr="0018647A">
        <w:rPr>
          <w:smallCaps/>
          <w:sz w:val="24"/>
          <w:szCs w:val="24"/>
          <w:lang w:val="en-GB"/>
        </w:rPr>
        <w:t>Gantz</w:t>
      </w:r>
      <w:proofErr w:type="spellEnd"/>
      <w:r>
        <w:rPr>
          <w:smallCaps/>
          <w:sz w:val="24"/>
          <w:szCs w:val="24"/>
          <w:lang w:val="en-GB"/>
        </w:rPr>
        <w:t xml:space="preserve"> J.</w:t>
      </w:r>
      <w:r w:rsidRPr="0018647A">
        <w:rPr>
          <w:smallCaps/>
          <w:sz w:val="24"/>
          <w:szCs w:val="24"/>
          <w:lang w:val="en-GB"/>
        </w:rPr>
        <w:t xml:space="preserve">, </w:t>
      </w:r>
      <w:proofErr w:type="spellStart"/>
      <w:r w:rsidRPr="0018647A">
        <w:rPr>
          <w:smallCaps/>
          <w:sz w:val="24"/>
          <w:szCs w:val="24"/>
          <w:lang w:val="en-GB"/>
        </w:rPr>
        <w:t>Rydning</w:t>
      </w:r>
      <w:proofErr w:type="spellEnd"/>
      <w:r>
        <w:rPr>
          <w:smallCaps/>
          <w:sz w:val="24"/>
          <w:szCs w:val="24"/>
          <w:lang w:val="en-GB"/>
        </w:rPr>
        <w:t xml:space="preserve"> J.</w:t>
      </w:r>
      <w:r w:rsidRPr="0018647A">
        <w:rPr>
          <w:smallCaps/>
          <w:sz w:val="24"/>
          <w:szCs w:val="24"/>
          <w:lang w:val="en-GB"/>
        </w:rPr>
        <w:t>,</w:t>
      </w:r>
      <w:r w:rsidRPr="0018647A">
        <w:rPr>
          <w:sz w:val="24"/>
          <w:szCs w:val="24"/>
          <w:lang w:val="en-GB"/>
        </w:rPr>
        <w:t xml:space="preserve"> </w:t>
      </w:r>
      <w:r w:rsidRPr="0018647A">
        <w:rPr>
          <w:i/>
          <w:iCs/>
          <w:sz w:val="24"/>
          <w:szCs w:val="24"/>
          <w:lang w:val="en-GB"/>
        </w:rPr>
        <w:t>The Digitization of the World - From Edge to Core</w:t>
      </w:r>
      <w:r w:rsidRPr="0018647A">
        <w:rPr>
          <w:sz w:val="24"/>
          <w:szCs w:val="24"/>
          <w:lang w:val="en-GB"/>
        </w:rPr>
        <w:t>, International Data Group (IDC) White Paper, November 2018</w:t>
      </w:r>
      <w:r>
        <w:rPr>
          <w:sz w:val="24"/>
          <w:szCs w:val="24"/>
          <w:lang w:val="en-GB"/>
        </w:rPr>
        <w:t>.</w:t>
      </w:r>
    </w:p>
    <w:p w14:paraId="6F40D5B3" w14:textId="77777777" w:rsidR="00651F9B" w:rsidRDefault="00651F9B" w:rsidP="00651F9B">
      <w:pPr>
        <w:pStyle w:val="Testonotaapidipagina"/>
        <w:numPr>
          <w:ilvl w:val="0"/>
          <w:numId w:val="15"/>
        </w:numPr>
        <w:rPr>
          <w:sz w:val="24"/>
          <w:szCs w:val="24"/>
          <w:lang w:val="en-GB"/>
        </w:rPr>
      </w:pPr>
      <w:proofErr w:type="spellStart"/>
      <w:r w:rsidRPr="0018647A">
        <w:rPr>
          <w:smallCaps/>
          <w:sz w:val="24"/>
          <w:szCs w:val="24"/>
          <w:lang w:val="en-GB"/>
        </w:rPr>
        <w:t>Ricolfi</w:t>
      </w:r>
      <w:proofErr w:type="spellEnd"/>
      <w:r>
        <w:rPr>
          <w:smallCaps/>
          <w:sz w:val="24"/>
          <w:szCs w:val="24"/>
          <w:lang w:val="en-GB"/>
        </w:rPr>
        <w:t xml:space="preserve"> M.</w:t>
      </w:r>
      <w:r w:rsidRPr="0018647A">
        <w:rPr>
          <w:sz w:val="24"/>
          <w:szCs w:val="24"/>
          <w:lang w:val="en-GB"/>
        </w:rPr>
        <w:t xml:space="preserve">, </w:t>
      </w:r>
      <w:r w:rsidRPr="0018647A">
        <w:rPr>
          <w:i/>
          <w:iCs/>
          <w:sz w:val="24"/>
          <w:szCs w:val="24"/>
          <w:lang w:val="en-GB"/>
        </w:rPr>
        <w:t>Making Copyright Fit for the Digital Agenda</w:t>
      </w:r>
      <w:r w:rsidRPr="0018647A">
        <w:rPr>
          <w:sz w:val="24"/>
          <w:szCs w:val="24"/>
          <w:lang w:val="en-GB"/>
        </w:rPr>
        <w:t xml:space="preserve">, in </w:t>
      </w:r>
      <w:r w:rsidRPr="0018647A">
        <w:rPr>
          <w:i/>
          <w:iCs/>
          <w:sz w:val="24"/>
          <w:szCs w:val="24"/>
          <w:lang w:val="en-GB"/>
        </w:rPr>
        <w:t xml:space="preserve">Il </w:t>
      </w:r>
      <w:proofErr w:type="spellStart"/>
      <w:r w:rsidRPr="0018647A">
        <w:rPr>
          <w:i/>
          <w:iCs/>
          <w:sz w:val="24"/>
          <w:szCs w:val="24"/>
          <w:lang w:val="en-GB"/>
        </w:rPr>
        <w:t>Diritto</w:t>
      </w:r>
      <w:proofErr w:type="spellEnd"/>
      <w:r w:rsidRPr="0018647A">
        <w:rPr>
          <w:i/>
          <w:iCs/>
          <w:sz w:val="24"/>
          <w:szCs w:val="24"/>
          <w:lang w:val="en-GB"/>
        </w:rPr>
        <w:t xml:space="preserve"> </w:t>
      </w:r>
      <w:proofErr w:type="spellStart"/>
      <w:r w:rsidRPr="0018647A">
        <w:rPr>
          <w:i/>
          <w:iCs/>
          <w:sz w:val="24"/>
          <w:szCs w:val="24"/>
          <w:lang w:val="en-GB"/>
        </w:rPr>
        <w:t>d’autore</w:t>
      </w:r>
      <w:proofErr w:type="spellEnd"/>
      <w:r>
        <w:rPr>
          <w:sz w:val="24"/>
          <w:szCs w:val="24"/>
          <w:lang w:val="en-GB"/>
        </w:rPr>
        <w:t xml:space="preserve">, </w:t>
      </w:r>
      <w:r w:rsidRPr="0018647A">
        <w:rPr>
          <w:sz w:val="24"/>
          <w:szCs w:val="24"/>
          <w:lang w:val="en-GB"/>
        </w:rPr>
        <w:t xml:space="preserve">2011, p. 359 </w:t>
      </w:r>
      <w:proofErr w:type="gramStart"/>
      <w:r w:rsidRPr="0018647A">
        <w:rPr>
          <w:sz w:val="24"/>
          <w:szCs w:val="24"/>
          <w:lang w:val="en-GB"/>
        </w:rPr>
        <w:t>ff.;</w:t>
      </w:r>
      <w:proofErr w:type="gramEnd"/>
    </w:p>
    <w:p w14:paraId="25531CDB" w14:textId="77777777" w:rsidR="00651F9B" w:rsidRDefault="00651F9B" w:rsidP="00651F9B">
      <w:pPr>
        <w:pStyle w:val="Testonotaapidipagina"/>
        <w:ind w:left="360"/>
        <w:rPr>
          <w:sz w:val="24"/>
          <w:szCs w:val="24"/>
          <w:lang w:val="en-GB"/>
        </w:rPr>
      </w:pPr>
    </w:p>
    <w:p w14:paraId="0086B589" w14:textId="77777777" w:rsidR="00651F9B" w:rsidRPr="009E4B17" w:rsidRDefault="00651F9B" w:rsidP="00651F9B">
      <w:pPr>
        <w:pStyle w:val="Paragrafoelenco"/>
        <w:numPr>
          <w:ilvl w:val="0"/>
          <w:numId w:val="15"/>
        </w:numPr>
        <w:jc w:val="both"/>
        <w:rPr>
          <w:sz w:val="24"/>
          <w:szCs w:val="24"/>
          <w:lang w:val="en-GB"/>
        </w:rPr>
      </w:pPr>
      <w:r w:rsidRPr="0018647A">
        <w:rPr>
          <w:smallCaps/>
          <w:sz w:val="24"/>
          <w:szCs w:val="24"/>
          <w:lang w:val="en-GB"/>
        </w:rPr>
        <w:t xml:space="preserve">Riis T., </w:t>
      </w:r>
      <w:proofErr w:type="spellStart"/>
      <w:r w:rsidRPr="0018647A">
        <w:rPr>
          <w:smallCaps/>
          <w:sz w:val="24"/>
          <w:szCs w:val="24"/>
          <w:lang w:val="en-GB"/>
        </w:rPr>
        <w:t>Rognstad</w:t>
      </w:r>
      <w:proofErr w:type="spellEnd"/>
      <w:r w:rsidRPr="0018647A">
        <w:rPr>
          <w:smallCaps/>
          <w:sz w:val="24"/>
          <w:szCs w:val="24"/>
          <w:lang w:val="en-GB"/>
        </w:rPr>
        <w:t xml:space="preserve"> O. et Al., </w:t>
      </w:r>
      <w:r w:rsidRPr="0018647A">
        <w:rPr>
          <w:i/>
          <w:iCs/>
          <w:sz w:val="24"/>
          <w:szCs w:val="24"/>
          <w:lang w:val="en-GB"/>
        </w:rPr>
        <w:t>Comment of the European Copyright Society on the Implementation of the Extended Collective Licensing Rules (Arts. 8 and 12) of the Directive (EU) 2019/790 on Copyright in the Digital Single Marke</w:t>
      </w:r>
      <w:r w:rsidRPr="0018647A">
        <w:rPr>
          <w:sz w:val="24"/>
          <w:szCs w:val="24"/>
          <w:lang w:val="en-GB"/>
        </w:rPr>
        <w:t xml:space="preserve">t, in </w:t>
      </w:r>
      <w:r w:rsidRPr="004A6C32">
        <w:rPr>
          <w:i/>
          <w:iCs/>
          <w:sz w:val="24"/>
          <w:szCs w:val="24"/>
          <w:lang w:val="en-GB"/>
        </w:rPr>
        <w:t>SSRN Electronic Journal</w:t>
      </w:r>
      <w:r w:rsidRPr="0018647A">
        <w:rPr>
          <w:sz w:val="24"/>
          <w:szCs w:val="24"/>
          <w:lang w:val="en-GB"/>
        </w:rPr>
        <w:t xml:space="preserve">, </w:t>
      </w:r>
      <w:r>
        <w:rPr>
          <w:sz w:val="24"/>
          <w:szCs w:val="24"/>
          <w:lang w:val="en-GB"/>
        </w:rPr>
        <w:t xml:space="preserve">11 </w:t>
      </w:r>
      <w:r w:rsidRPr="0018647A">
        <w:rPr>
          <w:sz w:val="24"/>
          <w:szCs w:val="24"/>
          <w:lang w:val="en-GB"/>
        </w:rPr>
        <w:t>June 2020</w:t>
      </w:r>
      <w:r>
        <w:rPr>
          <w:sz w:val="24"/>
          <w:szCs w:val="24"/>
          <w:lang w:val="en-GB"/>
        </w:rPr>
        <w:t>.</w:t>
      </w:r>
    </w:p>
    <w:p w14:paraId="4AEEF02E" w14:textId="77777777" w:rsidR="00651F9B" w:rsidRPr="0018647A" w:rsidRDefault="00651F9B" w:rsidP="00651F9B">
      <w:pPr>
        <w:pStyle w:val="Testonotaapidipagina"/>
        <w:numPr>
          <w:ilvl w:val="0"/>
          <w:numId w:val="15"/>
        </w:numPr>
        <w:jc w:val="both"/>
        <w:rPr>
          <w:sz w:val="24"/>
          <w:szCs w:val="24"/>
          <w:lang w:val="en-GB"/>
        </w:rPr>
      </w:pPr>
      <w:r w:rsidRPr="0018647A">
        <w:rPr>
          <w:sz w:val="24"/>
          <w:szCs w:val="24"/>
          <w:lang w:val="en-GB"/>
        </w:rPr>
        <w:t>R</w:t>
      </w:r>
      <w:r w:rsidRPr="0018647A">
        <w:rPr>
          <w:smallCaps/>
          <w:sz w:val="24"/>
          <w:szCs w:val="24"/>
          <w:lang w:val="en-GB"/>
        </w:rPr>
        <w:t>itter</w:t>
      </w:r>
      <w:r>
        <w:rPr>
          <w:smallCaps/>
          <w:sz w:val="24"/>
          <w:szCs w:val="24"/>
          <w:lang w:val="en-GB"/>
        </w:rPr>
        <w:t xml:space="preserve"> J.</w:t>
      </w:r>
      <w:r w:rsidRPr="0018647A">
        <w:rPr>
          <w:sz w:val="24"/>
          <w:szCs w:val="24"/>
          <w:lang w:val="en-GB"/>
        </w:rPr>
        <w:t>, M</w:t>
      </w:r>
      <w:r w:rsidRPr="0018647A">
        <w:rPr>
          <w:smallCaps/>
          <w:sz w:val="24"/>
          <w:szCs w:val="24"/>
          <w:lang w:val="en-GB"/>
        </w:rPr>
        <w:t>ayer</w:t>
      </w:r>
      <w:r>
        <w:rPr>
          <w:smallCaps/>
          <w:sz w:val="24"/>
          <w:szCs w:val="24"/>
          <w:lang w:val="en-GB"/>
        </w:rPr>
        <w:t xml:space="preserve"> A.</w:t>
      </w:r>
      <w:r w:rsidRPr="0018647A">
        <w:rPr>
          <w:sz w:val="24"/>
          <w:szCs w:val="24"/>
          <w:lang w:val="en-GB"/>
        </w:rPr>
        <w:t xml:space="preserve">, </w:t>
      </w:r>
      <w:r w:rsidRPr="0018647A">
        <w:rPr>
          <w:i/>
          <w:iCs/>
          <w:sz w:val="24"/>
          <w:szCs w:val="24"/>
          <w:lang w:val="en-GB"/>
        </w:rPr>
        <w:t>Regulating Data as Property: A New Construct for Moving Forward</w:t>
      </w:r>
      <w:r w:rsidRPr="0018647A">
        <w:rPr>
          <w:sz w:val="24"/>
          <w:szCs w:val="24"/>
          <w:lang w:val="en-GB"/>
        </w:rPr>
        <w:t xml:space="preserve">, in </w:t>
      </w:r>
      <w:r w:rsidRPr="0018647A">
        <w:rPr>
          <w:i/>
          <w:iCs/>
          <w:sz w:val="24"/>
          <w:szCs w:val="24"/>
          <w:lang w:val="en-GB"/>
        </w:rPr>
        <w:t>Duke L &amp; Tech Rev.</w:t>
      </w:r>
      <w:r>
        <w:rPr>
          <w:sz w:val="24"/>
          <w:szCs w:val="24"/>
          <w:lang w:val="en-GB"/>
        </w:rPr>
        <w:t xml:space="preserve">, </w:t>
      </w:r>
      <w:r w:rsidRPr="0018647A">
        <w:rPr>
          <w:sz w:val="24"/>
          <w:szCs w:val="24"/>
          <w:lang w:val="en-GB"/>
        </w:rPr>
        <w:t xml:space="preserve">2018, Vol. 16, p. 226 ff. </w:t>
      </w:r>
    </w:p>
    <w:p w14:paraId="4B810361" w14:textId="77777777" w:rsidR="00651F9B" w:rsidRPr="0018647A" w:rsidRDefault="00651F9B" w:rsidP="00651F9B">
      <w:pPr>
        <w:pStyle w:val="Paragrafoelenco"/>
        <w:rPr>
          <w:sz w:val="24"/>
          <w:szCs w:val="24"/>
          <w:lang w:val="en-GB"/>
        </w:rPr>
      </w:pPr>
    </w:p>
    <w:p w14:paraId="2F6B9068"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Rosati</w:t>
      </w:r>
      <w:r>
        <w:rPr>
          <w:smallCaps/>
          <w:sz w:val="24"/>
          <w:szCs w:val="24"/>
          <w:lang w:val="en-GB"/>
        </w:rPr>
        <w:t xml:space="preserve"> E.</w:t>
      </w:r>
      <w:r w:rsidRPr="0018647A">
        <w:rPr>
          <w:smallCaps/>
          <w:sz w:val="24"/>
          <w:szCs w:val="24"/>
          <w:lang w:val="en-GB"/>
        </w:rPr>
        <w:t>,</w:t>
      </w:r>
      <w:r w:rsidRPr="0018647A">
        <w:rPr>
          <w:sz w:val="24"/>
          <w:szCs w:val="24"/>
          <w:lang w:val="en-GB"/>
        </w:rPr>
        <w:t xml:space="preserve"> </w:t>
      </w:r>
      <w:r w:rsidRPr="0018647A">
        <w:rPr>
          <w:i/>
          <w:iCs/>
          <w:sz w:val="24"/>
          <w:szCs w:val="24"/>
          <w:lang w:val="en-GB"/>
        </w:rPr>
        <w:t xml:space="preserve">Copyright as an </w:t>
      </w:r>
      <w:proofErr w:type="gramStart"/>
      <w:r w:rsidRPr="0018647A">
        <w:rPr>
          <w:i/>
          <w:iCs/>
          <w:sz w:val="24"/>
          <w:szCs w:val="24"/>
          <w:lang w:val="en-GB"/>
        </w:rPr>
        <w:t>Obstacle</w:t>
      </w:r>
      <w:proofErr w:type="gramEnd"/>
      <w:r w:rsidRPr="0018647A">
        <w:rPr>
          <w:i/>
          <w:iCs/>
          <w:sz w:val="24"/>
          <w:szCs w:val="24"/>
          <w:lang w:val="en-GB"/>
        </w:rPr>
        <w:t xml:space="preserve"> or an Enabler? A European Perspective on Text and Data Mining and Its Role in the Development of AI Creativity</w:t>
      </w:r>
      <w:r w:rsidRPr="0018647A">
        <w:rPr>
          <w:sz w:val="24"/>
          <w:szCs w:val="24"/>
          <w:lang w:val="en-GB"/>
        </w:rPr>
        <w:t xml:space="preserve">, in </w:t>
      </w:r>
      <w:r w:rsidRPr="0018647A">
        <w:rPr>
          <w:i/>
          <w:iCs/>
          <w:sz w:val="24"/>
          <w:szCs w:val="24"/>
          <w:lang w:val="en-GB"/>
        </w:rPr>
        <w:t>Asia Pac. Law Rev.</w:t>
      </w:r>
      <w:r>
        <w:rPr>
          <w:sz w:val="24"/>
          <w:szCs w:val="24"/>
          <w:lang w:val="en-GB"/>
        </w:rPr>
        <w:t xml:space="preserve">, </w:t>
      </w:r>
      <w:r w:rsidRPr="0018647A">
        <w:rPr>
          <w:sz w:val="24"/>
          <w:szCs w:val="24"/>
          <w:lang w:val="en-GB"/>
        </w:rPr>
        <w:t xml:space="preserve">2019, p. 198 ff. </w:t>
      </w:r>
    </w:p>
    <w:p w14:paraId="4C8FBC66" w14:textId="77777777" w:rsidR="00651F9B" w:rsidRPr="0018647A" w:rsidRDefault="00651F9B" w:rsidP="00651F9B">
      <w:pPr>
        <w:pStyle w:val="Paragrafoelenco"/>
        <w:rPr>
          <w:sz w:val="24"/>
          <w:szCs w:val="24"/>
          <w:lang w:val="en-GB"/>
        </w:rPr>
      </w:pPr>
    </w:p>
    <w:p w14:paraId="413B6DFF"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Sag</w:t>
      </w:r>
      <w:r>
        <w:rPr>
          <w:smallCaps/>
          <w:sz w:val="24"/>
          <w:szCs w:val="24"/>
          <w:lang w:val="en-GB"/>
        </w:rPr>
        <w:t xml:space="preserve"> M.</w:t>
      </w:r>
      <w:r w:rsidRPr="0018647A">
        <w:rPr>
          <w:sz w:val="24"/>
          <w:szCs w:val="24"/>
          <w:lang w:val="en-GB"/>
        </w:rPr>
        <w:t xml:space="preserve">, </w:t>
      </w:r>
      <w:r w:rsidRPr="0018647A">
        <w:rPr>
          <w:i/>
          <w:iCs/>
          <w:sz w:val="24"/>
          <w:szCs w:val="24"/>
          <w:lang w:val="en-GB"/>
        </w:rPr>
        <w:t>The New Legal Landscape for Text Mining and Machine Learning</w:t>
      </w:r>
      <w:r w:rsidRPr="0018647A">
        <w:rPr>
          <w:sz w:val="24"/>
          <w:szCs w:val="24"/>
          <w:lang w:val="en-GB"/>
        </w:rPr>
        <w:t xml:space="preserve">, in </w:t>
      </w:r>
      <w:r w:rsidRPr="0018647A">
        <w:rPr>
          <w:i/>
          <w:iCs/>
          <w:sz w:val="24"/>
          <w:szCs w:val="24"/>
          <w:lang w:val="en-GB"/>
        </w:rPr>
        <w:t>Journal of the Copyright Society of the USA</w:t>
      </w:r>
      <w:r>
        <w:rPr>
          <w:sz w:val="24"/>
          <w:szCs w:val="24"/>
          <w:lang w:val="en-GB"/>
        </w:rPr>
        <w:t xml:space="preserve">, </w:t>
      </w:r>
      <w:r w:rsidRPr="0018647A">
        <w:rPr>
          <w:sz w:val="24"/>
          <w:szCs w:val="24"/>
          <w:lang w:val="en-GB"/>
        </w:rPr>
        <w:t>2019, Vol. 66, p. 291 ff.</w:t>
      </w:r>
    </w:p>
    <w:p w14:paraId="1FF79A6B" w14:textId="77777777" w:rsidR="00651F9B" w:rsidRPr="0018647A" w:rsidRDefault="00651F9B" w:rsidP="00651F9B">
      <w:pPr>
        <w:pStyle w:val="Paragrafoelenco"/>
        <w:rPr>
          <w:sz w:val="24"/>
          <w:szCs w:val="24"/>
          <w:lang w:val="en-GB"/>
        </w:rPr>
      </w:pPr>
    </w:p>
    <w:p w14:paraId="78EBB8FC" w14:textId="77777777" w:rsidR="00651F9B" w:rsidRPr="0018647A" w:rsidRDefault="00651F9B" w:rsidP="00651F9B">
      <w:pPr>
        <w:pStyle w:val="Paragrafoelenco"/>
        <w:numPr>
          <w:ilvl w:val="0"/>
          <w:numId w:val="15"/>
        </w:numPr>
        <w:jc w:val="both"/>
        <w:rPr>
          <w:sz w:val="24"/>
          <w:szCs w:val="24"/>
        </w:rPr>
      </w:pPr>
      <w:bookmarkStart w:id="8" w:name="_Hlk40458713"/>
      <w:proofErr w:type="spellStart"/>
      <w:r w:rsidRPr="0018647A">
        <w:rPr>
          <w:smallCaps/>
          <w:sz w:val="24"/>
          <w:szCs w:val="24"/>
        </w:rPr>
        <w:t>Scalzini</w:t>
      </w:r>
      <w:proofErr w:type="spellEnd"/>
      <w:r>
        <w:rPr>
          <w:smallCaps/>
          <w:sz w:val="24"/>
          <w:szCs w:val="24"/>
        </w:rPr>
        <w:t xml:space="preserve"> S.</w:t>
      </w:r>
      <w:r w:rsidRPr="0018647A">
        <w:rPr>
          <w:smallCaps/>
          <w:sz w:val="24"/>
          <w:szCs w:val="24"/>
        </w:rPr>
        <w:t>,</w:t>
      </w:r>
      <w:r w:rsidRPr="0018647A">
        <w:rPr>
          <w:sz w:val="24"/>
          <w:szCs w:val="24"/>
        </w:rPr>
        <w:t xml:space="preserve"> </w:t>
      </w:r>
      <w:r w:rsidRPr="0018647A">
        <w:rPr>
          <w:i/>
          <w:iCs/>
          <w:sz w:val="24"/>
          <w:szCs w:val="24"/>
        </w:rPr>
        <w:t>L’estrazione di dati e di testo per finalità commerciali dai contenuti degli utenti. Algoritmi, proprietà intellettuale e autonomia negoziale</w:t>
      </w:r>
      <w:r w:rsidRPr="0018647A">
        <w:rPr>
          <w:sz w:val="24"/>
          <w:szCs w:val="24"/>
        </w:rPr>
        <w:t xml:space="preserve">, in </w:t>
      </w:r>
      <w:r w:rsidRPr="0018647A">
        <w:rPr>
          <w:i/>
          <w:iCs/>
          <w:sz w:val="24"/>
          <w:szCs w:val="24"/>
        </w:rPr>
        <w:t>Analisi Giuridica dell'Economia</w:t>
      </w:r>
      <w:r>
        <w:rPr>
          <w:sz w:val="24"/>
          <w:szCs w:val="24"/>
        </w:rPr>
        <w:t xml:space="preserve">, </w:t>
      </w:r>
      <w:r w:rsidRPr="0018647A">
        <w:rPr>
          <w:sz w:val="24"/>
          <w:szCs w:val="24"/>
        </w:rPr>
        <w:t xml:space="preserve">2019, p. 395 </w:t>
      </w:r>
      <w:proofErr w:type="spellStart"/>
      <w:r w:rsidRPr="0018647A">
        <w:rPr>
          <w:sz w:val="24"/>
          <w:szCs w:val="24"/>
        </w:rPr>
        <w:t>ff</w:t>
      </w:r>
      <w:proofErr w:type="spellEnd"/>
      <w:r>
        <w:rPr>
          <w:sz w:val="24"/>
          <w:szCs w:val="24"/>
        </w:rPr>
        <w:t>.</w:t>
      </w:r>
    </w:p>
    <w:p w14:paraId="06248BA5" w14:textId="77777777" w:rsidR="00651F9B" w:rsidRPr="0018647A" w:rsidRDefault="00651F9B" w:rsidP="00651F9B">
      <w:pPr>
        <w:pStyle w:val="Paragrafoelenco"/>
        <w:rPr>
          <w:sz w:val="24"/>
          <w:szCs w:val="24"/>
        </w:rPr>
      </w:pPr>
    </w:p>
    <w:p w14:paraId="430DE23A"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Sieman</w:t>
      </w:r>
      <w:proofErr w:type="spellEnd"/>
      <w:r>
        <w:rPr>
          <w:smallCaps/>
          <w:sz w:val="24"/>
          <w:szCs w:val="24"/>
          <w:lang w:val="en-GB"/>
        </w:rPr>
        <w:t xml:space="preserve"> J.S.</w:t>
      </w:r>
      <w:r w:rsidRPr="0018647A">
        <w:rPr>
          <w:sz w:val="24"/>
          <w:szCs w:val="24"/>
          <w:lang w:val="en-GB"/>
        </w:rPr>
        <w:t xml:space="preserve">, </w:t>
      </w:r>
      <w:r w:rsidRPr="0018647A">
        <w:rPr>
          <w:i/>
          <w:iCs/>
          <w:sz w:val="24"/>
          <w:szCs w:val="24"/>
          <w:lang w:val="en-GB"/>
        </w:rPr>
        <w:t xml:space="preserve">Using the Implied License to Inject Common Sense into Digital Copyright, </w:t>
      </w:r>
      <w:r w:rsidRPr="0018647A">
        <w:rPr>
          <w:sz w:val="24"/>
          <w:szCs w:val="24"/>
          <w:lang w:val="en-GB"/>
        </w:rPr>
        <w:t xml:space="preserve">in </w:t>
      </w:r>
      <w:r w:rsidRPr="0018647A">
        <w:rPr>
          <w:i/>
          <w:iCs/>
          <w:sz w:val="24"/>
          <w:szCs w:val="24"/>
          <w:lang w:val="en-GB"/>
        </w:rPr>
        <w:t>North Carolina Law Review</w:t>
      </w:r>
      <w:r>
        <w:rPr>
          <w:sz w:val="24"/>
          <w:szCs w:val="24"/>
          <w:lang w:val="en-GB"/>
        </w:rPr>
        <w:t xml:space="preserve">, </w:t>
      </w:r>
      <w:r w:rsidRPr="0018647A">
        <w:rPr>
          <w:sz w:val="24"/>
          <w:szCs w:val="24"/>
          <w:lang w:val="en-GB"/>
        </w:rPr>
        <w:t>2007, Vol. 85, p. 885 ff.</w:t>
      </w:r>
    </w:p>
    <w:p w14:paraId="06ACA823" w14:textId="77777777" w:rsidR="00651F9B" w:rsidRPr="0018647A" w:rsidRDefault="00651F9B" w:rsidP="00651F9B">
      <w:pPr>
        <w:pStyle w:val="Testonotaapidipagina"/>
        <w:numPr>
          <w:ilvl w:val="0"/>
          <w:numId w:val="15"/>
        </w:numPr>
        <w:jc w:val="both"/>
        <w:rPr>
          <w:sz w:val="24"/>
          <w:szCs w:val="24"/>
          <w:lang w:val="en-GB"/>
        </w:rPr>
      </w:pPr>
      <w:proofErr w:type="spellStart"/>
      <w:r w:rsidRPr="0018647A">
        <w:rPr>
          <w:smallCaps/>
          <w:sz w:val="24"/>
          <w:szCs w:val="24"/>
          <w:lang w:val="en-GB"/>
        </w:rPr>
        <w:lastRenderedPageBreak/>
        <w:t>Sprigman</w:t>
      </w:r>
      <w:proofErr w:type="spellEnd"/>
      <w:r>
        <w:rPr>
          <w:smallCaps/>
          <w:sz w:val="24"/>
          <w:szCs w:val="24"/>
          <w:lang w:val="en-GB"/>
        </w:rPr>
        <w:t xml:space="preserve"> C.</w:t>
      </w:r>
      <w:r w:rsidRPr="0018647A">
        <w:rPr>
          <w:smallCaps/>
          <w:sz w:val="24"/>
          <w:szCs w:val="24"/>
          <w:lang w:val="en-GB"/>
        </w:rPr>
        <w:t>,</w:t>
      </w:r>
      <w:r w:rsidRPr="0018647A">
        <w:rPr>
          <w:sz w:val="24"/>
          <w:szCs w:val="24"/>
          <w:lang w:val="en-GB"/>
        </w:rPr>
        <w:t xml:space="preserve"> </w:t>
      </w:r>
      <w:r w:rsidRPr="0018647A">
        <w:rPr>
          <w:i/>
          <w:iCs/>
          <w:sz w:val="24"/>
          <w:szCs w:val="24"/>
          <w:lang w:val="en-GB"/>
        </w:rPr>
        <w:t>Reform(</w:t>
      </w:r>
      <w:proofErr w:type="spellStart"/>
      <w:r w:rsidRPr="0018647A">
        <w:rPr>
          <w:i/>
          <w:iCs/>
          <w:sz w:val="24"/>
          <w:szCs w:val="24"/>
          <w:lang w:val="en-GB"/>
        </w:rPr>
        <w:t>aliz</w:t>
      </w:r>
      <w:proofErr w:type="spellEnd"/>
      <w:r w:rsidRPr="0018647A">
        <w:rPr>
          <w:i/>
          <w:iCs/>
          <w:sz w:val="24"/>
          <w:szCs w:val="24"/>
          <w:lang w:val="en-GB"/>
        </w:rPr>
        <w:t>)</w:t>
      </w:r>
      <w:proofErr w:type="spellStart"/>
      <w:r w:rsidRPr="0018647A">
        <w:rPr>
          <w:i/>
          <w:iCs/>
          <w:sz w:val="24"/>
          <w:szCs w:val="24"/>
          <w:lang w:val="en-GB"/>
        </w:rPr>
        <w:t>ing</w:t>
      </w:r>
      <w:proofErr w:type="spellEnd"/>
      <w:r w:rsidRPr="0018647A">
        <w:rPr>
          <w:i/>
          <w:iCs/>
          <w:sz w:val="24"/>
          <w:szCs w:val="24"/>
          <w:lang w:val="en-GB"/>
        </w:rPr>
        <w:t xml:space="preserve"> Copyright,</w:t>
      </w:r>
      <w:r w:rsidRPr="0018647A">
        <w:rPr>
          <w:sz w:val="24"/>
          <w:szCs w:val="24"/>
          <w:lang w:val="en-GB"/>
        </w:rPr>
        <w:t xml:space="preserve"> in </w:t>
      </w:r>
      <w:r w:rsidRPr="0018647A">
        <w:rPr>
          <w:i/>
          <w:iCs/>
          <w:sz w:val="24"/>
          <w:szCs w:val="24"/>
          <w:lang w:val="en-GB"/>
        </w:rPr>
        <w:t>Stan. L. Rev.</w:t>
      </w:r>
      <w:r>
        <w:rPr>
          <w:sz w:val="24"/>
          <w:szCs w:val="24"/>
          <w:lang w:val="en-GB"/>
        </w:rPr>
        <w:t xml:space="preserve">, </w:t>
      </w:r>
      <w:r w:rsidRPr="0018647A">
        <w:rPr>
          <w:sz w:val="24"/>
          <w:szCs w:val="24"/>
          <w:lang w:val="en-GB"/>
        </w:rPr>
        <w:t>2004, Vol. 57, p. 485 ff.</w:t>
      </w:r>
    </w:p>
    <w:p w14:paraId="28BAEAC2" w14:textId="77777777" w:rsidR="00651F9B" w:rsidRPr="0018647A" w:rsidRDefault="00651F9B" w:rsidP="00651F9B">
      <w:pPr>
        <w:pStyle w:val="Testonotaapidipagina"/>
        <w:ind w:left="360"/>
        <w:jc w:val="both"/>
        <w:rPr>
          <w:sz w:val="24"/>
          <w:szCs w:val="24"/>
          <w:lang w:val="en-GB"/>
        </w:rPr>
      </w:pPr>
    </w:p>
    <w:p w14:paraId="25CCD61E" w14:textId="77777777" w:rsidR="00651F9B" w:rsidRDefault="00651F9B" w:rsidP="00651F9B">
      <w:pPr>
        <w:pStyle w:val="Testonotaapidipagina"/>
        <w:numPr>
          <w:ilvl w:val="0"/>
          <w:numId w:val="15"/>
        </w:numPr>
        <w:jc w:val="both"/>
        <w:rPr>
          <w:sz w:val="24"/>
          <w:szCs w:val="24"/>
          <w:lang w:val="en-GB"/>
        </w:rPr>
      </w:pPr>
      <w:proofErr w:type="spellStart"/>
      <w:r w:rsidRPr="0018647A">
        <w:rPr>
          <w:sz w:val="24"/>
          <w:szCs w:val="24"/>
          <w:lang w:val="en-GB"/>
        </w:rPr>
        <w:t>S</w:t>
      </w:r>
      <w:r w:rsidRPr="0018647A">
        <w:rPr>
          <w:smallCaps/>
          <w:sz w:val="24"/>
          <w:szCs w:val="24"/>
          <w:lang w:val="en-GB"/>
        </w:rPr>
        <w:t>trowel</w:t>
      </w:r>
      <w:proofErr w:type="spellEnd"/>
      <w:r>
        <w:rPr>
          <w:smallCaps/>
          <w:sz w:val="24"/>
          <w:szCs w:val="24"/>
          <w:lang w:val="en-GB"/>
        </w:rPr>
        <w:t xml:space="preserve"> A.</w:t>
      </w:r>
      <w:r w:rsidRPr="0018647A">
        <w:rPr>
          <w:sz w:val="24"/>
          <w:szCs w:val="24"/>
          <w:lang w:val="en-GB"/>
        </w:rPr>
        <w:t xml:space="preserve">, </w:t>
      </w:r>
      <w:r w:rsidRPr="0018647A">
        <w:rPr>
          <w:i/>
          <w:iCs/>
          <w:sz w:val="24"/>
          <w:szCs w:val="24"/>
          <w:lang w:val="en-GB"/>
        </w:rPr>
        <w:t>Reconstructing the Reproduction and Communication to the Public Rights: How to Align Copyright with Its Fundamentals</w:t>
      </w:r>
      <w:r w:rsidRPr="0018647A">
        <w:rPr>
          <w:sz w:val="24"/>
          <w:szCs w:val="24"/>
          <w:lang w:val="en-GB"/>
        </w:rPr>
        <w:t xml:space="preserve">, in </w:t>
      </w:r>
      <w:proofErr w:type="spellStart"/>
      <w:r w:rsidRPr="0018647A">
        <w:rPr>
          <w:smallCaps/>
          <w:sz w:val="24"/>
          <w:szCs w:val="24"/>
          <w:lang w:val="en-GB"/>
        </w:rPr>
        <w:t>Hugenholtz</w:t>
      </w:r>
      <w:proofErr w:type="spellEnd"/>
      <w:r w:rsidRPr="0018647A">
        <w:rPr>
          <w:smallCaps/>
          <w:sz w:val="24"/>
          <w:szCs w:val="24"/>
          <w:lang w:val="en-GB"/>
        </w:rPr>
        <w:t xml:space="preserve"> </w:t>
      </w:r>
      <w:r>
        <w:rPr>
          <w:smallCaps/>
          <w:sz w:val="24"/>
          <w:szCs w:val="24"/>
          <w:lang w:val="en-GB"/>
        </w:rPr>
        <w:t xml:space="preserve">B. </w:t>
      </w:r>
      <w:r w:rsidRPr="0018647A">
        <w:rPr>
          <w:sz w:val="24"/>
          <w:szCs w:val="24"/>
          <w:lang w:val="en-GB"/>
        </w:rPr>
        <w:t xml:space="preserve">(ed.), </w:t>
      </w:r>
      <w:r w:rsidRPr="0018647A">
        <w:rPr>
          <w:i/>
          <w:iCs/>
          <w:sz w:val="24"/>
          <w:szCs w:val="24"/>
          <w:lang w:val="en-GB"/>
        </w:rPr>
        <w:t>Copyright Reconstructed Rethinking Copyright’s Economic Rights in a Time of Highly Dynamic Technological and Economic Change</w:t>
      </w:r>
      <w:r w:rsidRPr="0018647A">
        <w:rPr>
          <w:sz w:val="24"/>
          <w:szCs w:val="24"/>
          <w:lang w:val="en-GB"/>
        </w:rPr>
        <w:t>, Wolters Kluwer, 2018, p. 203 ff.</w:t>
      </w:r>
    </w:p>
    <w:p w14:paraId="3E3EF4DF" w14:textId="77777777" w:rsidR="00651F9B" w:rsidRPr="0018647A" w:rsidRDefault="00651F9B" w:rsidP="00651F9B">
      <w:pPr>
        <w:pStyle w:val="Testonotaapidipagina"/>
        <w:jc w:val="both"/>
        <w:rPr>
          <w:sz w:val="24"/>
          <w:szCs w:val="24"/>
          <w:lang w:val="en-GB"/>
        </w:rPr>
      </w:pPr>
    </w:p>
    <w:bookmarkEnd w:id="8"/>
    <w:p w14:paraId="1044DCCA"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Triaille</w:t>
      </w:r>
      <w:proofErr w:type="spellEnd"/>
      <w:r>
        <w:rPr>
          <w:smallCaps/>
          <w:sz w:val="24"/>
          <w:szCs w:val="24"/>
          <w:lang w:val="en-GB"/>
        </w:rPr>
        <w:t xml:space="preserve"> J.P. </w:t>
      </w:r>
      <w:r w:rsidRPr="0018647A">
        <w:rPr>
          <w:smallCaps/>
          <w:sz w:val="24"/>
          <w:szCs w:val="24"/>
          <w:lang w:val="en-GB"/>
        </w:rPr>
        <w:t xml:space="preserve">, de </w:t>
      </w:r>
      <w:proofErr w:type="spellStart"/>
      <w:r w:rsidRPr="0018647A">
        <w:rPr>
          <w:smallCaps/>
          <w:sz w:val="24"/>
          <w:szCs w:val="24"/>
          <w:lang w:val="en-GB"/>
        </w:rPr>
        <w:t>Meeûs</w:t>
      </w:r>
      <w:proofErr w:type="spellEnd"/>
      <w:r w:rsidRPr="0018647A">
        <w:rPr>
          <w:smallCaps/>
          <w:sz w:val="24"/>
          <w:szCs w:val="24"/>
          <w:lang w:val="en-GB"/>
        </w:rPr>
        <w:t xml:space="preserve"> </w:t>
      </w:r>
      <w:proofErr w:type="spellStart"/>
      <w:r w:rsidRPr="0018647A">
        <w:rPr>
          <w:smallCaps/>
          <w:sz w:val="24"/>
          <w:szCs w:val="24"/>
          <w:lang w:val="en-GB"/>
        </w:rPr>
        <w:t>d’Argenteuil</w:t>
      </w:r>
      <w:proofErr w:type="spellEnd"/>
      <w:r>
        <w:rPr>
          <w:smallCaps/>
          <w:sz w:val="24"/>
          <w:szCs w:val="24"/>
          <w:lang w:val="en-GB"/>
        </w:rPr>
        <w:t xml:space="preserve"> J.</w:t>
      </w:r>
      <w:r w:rsidRPr="0018647A">
        <w:rPr>
          <w:smallCaps/>
          <w:sz w:val="24"/>
          <w:szCs w:val="24"/>
          <w:lang w:val="en-GB"/>
        </w:rPr>
        <w:t xml:space="preserve">, </w:t>
      </w:r>
      <w:proofErr w:type="spellStart"/>
      <w:r w:rsidRPr="0018647A">
        <w:rPr>
          <w:smallCaps/>
          <w:sz w:val="24"/>
          <w:szCs w:val="24"/>
          <w:lang w:val="en-GB"/>
        </w:rPr>
        <w:t>Francquen</w:t>
      </w:r>
      <w:proofErr w:type="spellEnd"/>
      <w:r>
        <w:rPr>
          <w:smallCaps/>
          <w:sz w:val="24"/>
          <w:szCs w:val="24"/>
          <w:lang w:val="en-GB"/>
        </w:rPr>
        <w:t xml:space="preserve"> A.</w:t>
      </w:r>
      <w:r w:rsidRPr="0018647A">
        <w:rPr>
          <w:smallCaps/>
          <w:sz w:val="24"/>
          <w:szCs w:val="24"/>
          <w:lang w:val="en-GB"/>
        </w:rPr>
        <w:t>,</w:t>
      </w:r>
      <w:r w:rsidRPr="0018647A">
        <w:rPr>
          <w:sz w:val="24"/>
          <w:szCs w:val="24"/>
          <w:lang w:val="en-GB"/>
        </w:rPr>
        <w:t xml:space="preserve"> </w:t>
      </w:r>
      <w:r w:rsidRPr="0018647A">
        <w:rPr>
          <w:i/>
          <w:iCs/>
          <w:sz w:val="24"/>
          <w:szCs w:val="24"/>
          <w:lang w:val="en-GB"/>
        </w:rPr>
        <w:t>Study on the legal framework of text and data mining (TDM</w:t>
      </w:r>
      <w:r w:rsidRPr="0018647A">
        <w:rPr>
          <w:sz w:val="24"/>
          <w:szCs w:val="24"/>
          <w:lang w:val="en-GB"/>
        </w:rPr>
        <w:t xml:space="preserve">), 2014, prepared for the European Commission, </w:t>
      </w:r>
      <w:hyperlink r:id="rId12" w:history="1">
        <w:r w:rsidRPr="0018647A">
          <w:rPr>
            <w:rStyle w:val="Collegamentoipertestuale"/>
            <w:sz w:val="24"/>
            <w:szCs w:val="24"/>
            <w:lang w:val="en-GB"/>
          </w:rPr>
          <w:t>http://ec.europa.eu/internal_market/copyright/docs/studies/1403_study2_en.</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p>
    <w:p w14:paraId="3CD6F9B0" w14:textId="77777777" w:rsidR="00651F9B" w:rsidRPr="0018647A" w:rsidRDefault="00651F9B" w:rsidP="00651F9B">
      <w:pPr>
        <w:pStyle w:val="Paragrafoelenco"/>
        <w:rPr>
          <w:sz w:val="24"/>
          <w:szCs w:val="24"/>
          <w:lang w:val="en-GB"/>
        </w:rPr>
      </w:pPr>
    </w:p>
    <w:p w14:paraId="1E35B9A5"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 xml:space="preserve">Van </w:t>
      </w:r>
      <w:proofErr w:type="spellStart"/>
      <w:r w:rsidRPr="0018647A">
        <w:rPr>
          <w:smallCaps/>
          <w:sz w:val="24"/>
          <w:szCs w:val="24"/>
          <w:lang w:val="en-GB"/>
        </w:rPr>
        <w:t>Gompel</w:t>
      </w:r>
      <w:proofErr w:type="spellEnd"/>
      <w:r>
        <w:rPr>
          <w:smallCaps/>
          <w:sz w:val="24"/>
          <w:szCs w:val="24"/>
          <w:lang w:val="en-GB"/>
        </w:rPr>
        <w:t xml:space="preserve"> S.</w:t>
      </w:r>
      <w:r w:rsidRPr="0018647A">
        <w:rPr>
          <w:sz w:val="24"/>
          <w:szCs w:val="24"/>
          <w:lang w:val="en-GB"/>
        </w:rPr>
        <w:t xml:space="preserve">, </w:t>
      </w:r>
      <w:r w:rsidRPr="0018647A">
        <w:rPr>
          <w:i/>
          <w:iCs/>
          <w:sz w:val="24"/>
          <w:szCs w:val="24"/>
          <w:lang w:val="en-GB"/>
        </w:rPr>
        <w:t xml:space="preserve">Formalities in the Digital Era: an Obstacle or </w:t>
      </w:r>
      <w:proofErr w:type="gramStart"/>
      <w:r w:rsidRPr="0018647A">
        <w:rPr>
          <w:i/>
          <w:iCs/>
          <w:sz w:val="24"/>
          <w:szCs w:val="24"/>
          <w:lang w:val="en-GB"/>
        </w:rPr>
        <w:t>Opportunity?</w:t>
      </w:r>
      <w:r w:rsidRPr="0018647A">
        <w:rPr>
          <w:sz w:val="24"/>
          <w:szCs w:val="24"/>
          <w:lang w:val="en-GB"/>
        </w:rPr>
        <w:t>,</w:t>
      </w:r>
      <w:proofErr w:type="gramEnd"/>
      <w:r w:rsidRPr="0018647A">
        <w:rPr>
          <w:sz w:val="24"/>
          <w:szCs w:val="24"/>
          <w:lang w:val="en-GB"/>
        </w:rPr>
        <w:t xml:space="preserve"> in </w:t>
      </w:r>
      <w:proofErr w:type="spellStart"/>
      <w:r w:rsidRPr="0018647A">
        <w:rPr>
          <w:smallCaps/>
          <w:sz w:val="24"/>
          <w:szCs w:val="24"/>
          <w:lang w:val="en-GB"/>
        </w:rPr>
        <w:t>Bently</w:t>
      </w:r>
      <w:proofErr w:type="spellEnd"/>
      <w:r>
        <w:rPr>
          <w:smallCaps/>
          <w:sz w:val="24"/>
          <w:szCs w:val="24"/>
          <w:lang w:val="en-GB"/>
        </w:rPr>
        <w:t xml:space="preserve"> L.</w:t>
      </w:r>
      <w:r w:rsidRPr="0018647A">
        <w:rPr>
          <w:smallCaps/>
          <w:sz w:val="24"/>
          <w:szCs w:val="24"/>
          <w:lang w:val="en-GB"/>
        </w:rPr>
        <w:t xml:space="preserve">,  </w:t>
      </w:r>
      <w:proofErr w:type="spellStart"/>
      <w:r w:rsidRPr="0018647A">
        <w:rPr>
          <w:smallCaps/>
          <w:sz w:val="24"/>
          <w:szCs w:val="24"/>
          <w:lang w:val="en-GB"/>
        </w:rPr>
        <w:t>Suthersanen</w:t>
      </w:r>
      <w:proofErr w:type="spellEnd"/>
      <w:r w:rsidRPr="0018647A">
        <w:rPr>
          <w:smallCaps/>
          <w:sz w:val="24"/>
          <w:szCs w:val="24"/>
          <w:lang w:val="en-GB"/>
        </w:rPr>
        <w:t xml:space="preserve"> </w:t>
      </w:r>
      <w:r>
        <w:rPr>
          <w:smallCaps/>
          <w:sz w:val="24"/>
          <w:szCs w:val="24"/>
          <w:lang w:val="en-GB"/>
        </w:rPr>
        <w:t>U.,</w:t>
      </w:r>
      <w:r w:rsidRPr="0018647A">
        <w:rPr>
          <w:smallCaps/>
          <w:sz w:val="24"/>
          <w:szCs w:val="24"/>
          <w:lang w:val="en-GB"/>
        </w:rPr>
        <w:t xml:space="preserve"> </w:t>
      </w:r>
      <w:proofErr w:type="spellStart"/>
      <w:r w:rsidRPr="0018647A">
        <w:rPr>
          <w:smallCaps/>
          <w:sz w:val="24"/>
          <w:szCs w:val="24"/>
          <w:lang w:val="en-GB"/>
        </w:rPr>
        <w:t>Torremans</w:t>
      </w:r>
      <w:proofErr w:type="spellEnd"/>
      <w:r>
        <w:rPr>
          <w:smallCaps/>
          <w:sz w:val="24"/>
          <w:szCs w:val="24"/>
          <w:lang w:val="en-GB"/>
        </w:rPr>
        <w:t xml:space="preserve"> P.</w:t>
      </w:r>
      <w:r w:rsidRPr="0018647A">
        <w:rPr>
          <w:sz w:val="24"/>
          <w:szCs w:val="24"/>
          <w:lang w:val="en-GB"/>
        </w:rPr>
        <w:t xml:space="preserve"> (eds), </w:t>
      </w:r>
      <w:r w:rsidRPr="0018647A">
        <w:rPr>
          <w:i/>
          <w:iCs/>
          <w:sz w:val="24"/>
          <w:szCs w:val="24"/>
          <w:lang w:val="en-GB"/>
        </w:rPr>
        <w:t>Global Copyright: Three Hundred Years Since the Statute of Anne, from 1709 to Cyberspace,</w:t>
      </w:r>
      <w:r w:rsidRPr="0018647A">
        <w:rPr>
          <w:sz w:val="24"/>
          <w:szCs w:val="24"/>
          <w:lang w:val="en-GB"/>
        </w:rPr>
        <w:t xml:space="preserve"> Cheltenham: Edward Elgar, 2010, p. 395 ff.</w:t>
      </w:r>
    </w:p>
    <w:p w14:paraId="0E1FA737" w14:textId="77777777" w:rsidR="00651F9B" w:rsidRPr="0018647A" w:rsidRDefault="00651F9B" w:rsidP="00651F9B">
      <w:pPr>
        <w:pStyle w:val="Paragrafoelenco"/>
        <w:rPr>
          <w:sz w:val="24"/>
          <w:szCs w:val="24"/>
          <w:lang w:val="en-GB"/>
        </w:rPr>
      </w:pPr>
    </w:p>
    <w:p w14:paraId="6F5EAC43" w14:textId="77777777" w:rsidR="00651F9B" w:rsidRDefault="00651F9B" w:rsidP="00651F9B">
      <w:pPr>
        <w:pStyle w:val="Paragrafoelenco"/>
        <w:numPr>
          <w:ilvl w:val="0"/>
          <w:numId w:val="15"/>
        </w:numPr>
        <w:jc w:val="both"/>
        <w:rPr>
          <w:sz w:val="24"/>
          <w:szCs w:val="24"/>
          <w:lang w:val="en-GB"/>
        </w:rPr>
      </w:pPr>
      <w:r w:rsidRPr="0018647A">
        <w:rPr>
          <w:smallCaps/>
          <w:sz w:val="24"/>
          <w:szCs w:val="24"/>
          <w:lang w:val="en-GB"/>
        </w:rPr>
        <w:t xml:space="preserve">Van </w:t>
      </w:r>
      <w:proofErr w:type="spellStart"/>
      <w:r w:rsidRPr="0018647A">
        <w:rPr>
          <w:smallCaps/>
          <w:sz w:val="24"/>
          <w:szCs w:val="24"/>
          <w:lang w:val="en-GB"/>
        </w:rPr>
        <w:t>Gompel</w:t>
      </w:r>
      <w:proofErr w:type="spellEnd"/>
      <w:r>
        <w:rPr>
          <w:smallCaps/>
          <w:sz w:val="24"/>
          <w:szCs w:val="24"/>
          <w:lang w:val="en-GB"/>
        </w:rPr>
        <w:t xml:space="preserve"> S.</w:t>
      </w:r>
      <w:r w:rsidRPr="0018647A">
        <w:rPr>
          <w:smallCaps/>
          <w:sz w:val="24"/>
          <w:szCs w:val="24"/>
          <w:lang w:val="en-GB"/>
        </w:rPr>
        <w:t>,</w:t>
      </w:r>
      <w:r w:rsidRPr="0018647A">
        <w:rPr>
          <w:sz w:val="24"/>
          <w:szCs w:val="24"/>
          <w:lang w:val="en-GB"/>
        </w:rPr>
        <w:t xml:space="preserve"> </w:t>
      </w:r>
      <w:r w:rsidRPr="0018647A">
        <w:rPr>
          <w:i/>
          <w:iCs/>
          <w:sz w:val="24"/>
          <w:szCs w:val="24"/>
          <w:lang w:val="en-GB"/>
        </w:rPr>
        <w:t>Copyright Formalities in the Internet Age: Filters of Protection or Facilitators of Licensing</w:t>
      </w:r>
      <w:r w:rsidRPr="0018647A">
        <w:rPr>
          <w:sz w:val="24"/>
          <w:szCs w:val="24"/>
          <w:lang w:val="en-GB"/>
        </w:rPr>
        <w:t xml:space="preserve">, in </w:t>
      </w:r>
      <w:r w:rsidRPr="0018647A">
        <w:rPr>
          <w:i/>
          <w:iCs/>
          <w:sz w:val="24"/>
          <w:szCs w:val="24"/>
          <w:lang w:val="en-GB"/>
        </w:rPr>
        <w:t>Berkeley Tech. L.J.</w:t>
      </w:r>
      <w:r>
        <w:rPr>
          <w:i/>
          <w:iCs/>
          <w:sz w:val="24"/>
          <w:szCs w:val="24"/>
          <w:lang w:val="en-GB"/>
        </w:rPr>
        <w:t>,</w:t>
      </w:r>
      <w:r w:rsidRPr="0018647A">
        <w:rPr>
          <w:i/>
          <w:iCs/>
          <w:sz w:val="24"/>
          <w:szCs w:val="24"/>
          <w:lang w:val="en-GB"/>
        </w:rPr>
        <w:t xml:space="preserve"> </w:t>
      </w:r>
      <w:r w:rsidRPr="0018647A">
        <w:rPr>
          <w:sz w:val="24"/>
          <w:szCs w:val="24"/>
          <w:lang w:val="en-GB"/>
        </w:rPr>
        <w:t>2013, Vol. 28, p. 1425 ff.</w:t>
      </w:r>
    </w:p>
    <w:p w14:paraId="1E038AE4" w14:textId="77777777" w:rsidR="00651F9B" w:rsidRPr="00EF5527" w:rsidRDefault="00651F9B" w:rsidP="00651F9B">
      <w:pPr>
        <w:pStyle w:val="Paragrafoelenco"/>
        <w:rPr>
          <w:sz w:val="24"/>
          <w:szCs w:val="24"/>
          <w:lang w:val="en-GB"/>
        </w:rPr>
      </w:pPr>
    </w:p>
    <w:p w14:paraId="08F40CBF" w14:textId="77777777" w:rsidR="00651F9B" w:rsidRPr="00EF5527" w:rsidRDefault="00651F9B" w:rsidP="00651F9B">
      <w:pPr>
        <w:pStyle w:val="Paragrafoelenco"/>
        <w:numPr>
          <w:ilvl w:val="0"/>
          <w:numId w:val="15"/>
        </w:numPr>
        <w:jc w:val="both"/>
        <w:rPr>
          <w:sz w:val="24"/>
          <w:szCs w:val="24"/>
          <w:lang w:val="en-GB"/>
        </w:rPr>
      </w:pPr>
      <w:r w:rsidRPr="00EF5527">
        <w:rPr>
          <w:rFonts w:cstheme="minorHAnsi"/>
          <w:smallCaps/>
          <w:sz w:val="24"/>
          <w:szCs w:val="24"/>
          <w:lang w:val="en-GB"/>
        </w:rPr>
        <w:t>WIPO Secretariat</w:t>
      </w:r>
      <w:r w:rsidRPr="0018647A">
        <w:rPr>
          <w:sz w:val="24"/>
          <w:szCs w:val="24"/>
          <w:lang w:val="en-GB"/>
        </w:rPr>
        <w:t xml:space="preserve">, </w:t>
      </w:r>
      <w:r w:rsidRPr="0018647A">
        <w:rPr>
          <w:i/>
          <w:iCs/>
          <w:sz w:val="24"/>
          <w:szCs w:val="24"/>
          <w:lang w:val="en-GB"/>
        </w:rPr>
        <w:t xml:space="preserve">Draft Issues Paper on Intellectual Property Policy and Artificial Intelligence, </w:t>
      </w:r>
      <w:r>
        <w:rPr>
          <w:sz w:val="24"/>
          <w:szCs w:val="24"/>
          <w:lang w:val="en-GB"/>
        </w:rPr>
        <w:t>13 D</w:t>
      </w:r>
      <w:r w:rsidRPr="0018647A">
        <w:rPr>
          <w:sz w:val="24"/>
          <w:szCs w:val="24"/>
          <w:lang w:val="en-GB"/>
        </w:rPr>
        <w:t>ecember 2019</w:t>
      </w:r>
      <w:r>
        <w:rPr>
          <w:sz w:val="24"/>
          <w:szCs w:val="24"/>
          <w:lang w:val="en-GB"/>
        </w:rPr>
        <w:t>.</w:t>
      </w:r>
    </w:p>
    <w:p w14:paraId="1599AC8B" w14:textId="77777777" w:rsidR="00651F9B" w:rsidRPr="0018647A" w:rsidRDefault="00651F9B" w:rsidP="00651F9B">
      <w:pPr>
        <w:pStyle w:val="Paragrafoelenco"/>
        <w:ind w:left="360"/>
        <w:jc w:val="both"/>
        <w:rPr>
          <w:sz w:val="24"/>
          <w:szCs w:val="24"/>
          <w:lang w:val="en-GB"/>
        </w:rPr>
      </w:pPr>
    </w:p>
    <w:p w14:paraId="437D09F7" w14:textId="77777777" w:rsidR="00651F9B" w:rsidRPr="0018647A" w:rsidRDefault="00651F9B" w:rsidP="00651F9B">
      <w:pPr>
        <w:pStyle w:val="Paragrafoelenco"/>
        <w:numPr>
          <w:ilvl w:val="0"/>
          <w:numId w:val="15"/>
        </w:numPr>
        <w:jc w:val="both"/>
        <w:rPr>
          <w:sz w:val="24"/>
          <w:szCs w:val="24"/>
          <w:lang w:val="en-GB"/>
        </w:rPr>
      </w:pPr>
      <w:r w:rsidRPr="0018647A">
        <w:rPr>
          <w:smallCaps/>
          <w:sz w:val="24"/>
          <w:szCs w:val="24"/>
          <w:lang w:val="en-GB"/>
        </w:rPr>
        <w:t xml:space="preserve"> </w:t>
      </w:r>
      <w:proofErr w:type="spellStart"/>
      <w:r w:rsidRPr="0018647A">
        <w:rPr>
          <w:smallCaps/>
          <w:sz w:val="24"/>
          <w:szCs w:val="24"/>
          <w:lang w:val="en-GB"/>
        </w:rPr>
        <w:t>Zech</w:t>
      </w:r>
      <w:proofErr w:type="spellEnd"/>
      <w:r>
        <w:rPr>
          <w:smallCaps/>
          <w:sz w:val="24"/>
          <w:szCs w:val="24"/>
          <w:lang w:val="en-GB"/>
        </w:rPr>
        <w:t xml:space="preserve"> H.</w:t>
      </w:r>
      <w:r w:rsidRPr="0018647A">
        <w:rPr>
          <w:smallCaps/>
          <w:sz w:val="24"/>
          <w:szCs w:val="24"/>
          <w:lang w:val="en-GB"/>
        </w:rPr>
        <w:t>,</w:t>
      </w:r>
      <w:r w:rsidRPr="0018647A">
        <w:rPr>
          <w:sz w:val="24"/>
          <w:szCs w:val="24"/>
          <w:lang w:val="en-GB"/>
        </w:rPr>
        <w:t xml:space="preserve"> </w:t>
      </w:r>
      <w:r w:rsidRPr="0018647A">
        <w:rPr>
          <w:i/>
          <w:iCs/>
          <w:sz w:val="24"/>
          <w:szCs w:val="24"/>
          <w:lang w:val="en-GB"/>
        </w:rPr>
        <w:t>Data as a Tradeable Commodity</w:t>
      </w:r>
      <w:r w:rsidRPr="0018647A">
        <w:rPr>
          <w:sz w:val="24"/>
          <w:szCs w:val="24"/>
          <w:lang w:val="en-GB"/>
        </w:rPr>
        <w:t xml:space="preserve">, in </w:t>
      </w:r>
      <w:r w:rsidRPr="0018647A">
        <w:rPr>
          <w:smallCaps/>
          <w:sz w:val="24"/>
          <w:szCs w:val="24"/>
          <w:lang w:val="en-GB"/>
        </w:rPr>
        <w:t xml:space="preserve">De </w:t>
      </w:r>
      <w:proofErr w:type="spellStart"/>
      <w:r w:rsidRPr="0018647A">
        <w:rPr>
          <w:smallCaps/>
          <w:sz w:val="24"/>
          <w:szCs w:val="24"/>
          <w:lang w:val="en-GB"/>
        </w:rPr>
        <w:t>Franceschi</w:t>
      </w:r>
      <w:proofErr w:type="spellEnd"/>
      <w:r>
        <w:rPr>
          <w:smallCaps/>
          <w:sz w:val="24"/>
          <w:szCs w:val="24"/>
          <w:lang w:val="en-GB"/>
        </w:rPr>
        <w:t xml:space="preserve"> A.</w:t>
      </w:r>
      <w:r w:rsidRPr="0018647A">
        <w:rPr>
          <w:smallCaps/>
          <w:sz w:val="24"/>
          <w:szCs w:val="24"/>
          <w:lang w:val="en-GB"/>
        </w:rPr>
        <w:t xml:space="preserve"> (</w:t>
      </w:r>
      <w:r w:rsidRPr="0018647A">
        <w:rPr>
          <w:sz w:val="24"/>
          <w:szCs w:val="24"/>
          <w:lang w:val="en-GB"/>
        </w:rPr>
        <w:t xml:space="preserve">ed.), </w:t>
      </w:r>
      <w:r w:rsidRPr="0018647A">
        <w:rPr>
          <w:i/>
          <w:iCs/>
          <w:sz w:val="24"/>
          <w:szCs w:val="24"/>
          <w:lang w:val="en-GB"/>
        </w:rPr>
        <w:t>European Contract Law and the Digital Single Market</w:t>
      </w:r>
      <w:r w:rsidRPr="0018647A">
        <w:rPr>
          <w:sz w:val="24"/>
          <w:szCs w:val="24"/>
          <w:lang w:val="en-GB"/>
        </w:rPr>
        <w:t>, Cambridge, 2016, p. 49 ff.</w:t>
      </w:r>
    </w:p>
    <w:p w14:paraId="2EF42EC9" w14:textId="77777777" w:rsidR="00651F9B" w:rsidRPr="0018647A" w:rsidRDefault="00651F9B" w:rsidP="00651F9B">
      <w:pPr>
        <w:pStyle w:val="Paragrafoelenco"/>
        <w:rPr>
          <w:sz w:val="24"/>
          <w:szCs w:val="24"/>
          <w:lang w:val="en-GB"/>
        </w:rPr>
      </w:pPr>
    </w:p>
    <w:p w14:paraId="68B397A1" w14:textId="77777777" w:rsidR="00651F9B" w:rsidRPr="0018647A" w:rsidRDefault="00651F9B" w:rsidP="00651F9B">
      <w:pPr>
        <w:rPr>
          <w:b/>
          <w:bCs/>
          <w:sz w:val="24"/>
          <w:szCs w:val="24"/>
          <w:lang w:val="en-GB"/>
        </w:rPr>
      </w:pPr>
      <w:r w:rsidRPr="0018647A">
        <w:rPr>
          <w:b/>
          <w:bCs/>
          <w:sz w:val="24"/>
          <w:szCs w:val="24"/>
          <w:lang w:val="en-GB"/>
        </w:rPr>
        <w:t xml:space="preserve">Blogs, online </w:t>
      </w:r>
      <w:proofErr w:type="gramStart"/>
      <w:r w:rsidRPr="0018647A">
        <w:rPr>
          <w:b/>
          <w:bCs/>
          <w:sz w:val="24"/>
          <w:szCs w:val="24"/>
          <w:lang w:val="en-GB"/>
        </w:rPr>
        <w:t>newspapers</w:t>
      </w:r>
      <w:proofErr w:type="gramEnd"/>
      <w:r w:rsidRPr="0018647A">
        <w:rPr>
          <w:b/>
          <w:bCs/>
          <w:sz w:val="24"/>
          <w:szCs w:val="24"/>
          <w:lang w:val="en-GB"/>
        </w:rPr>
        <w:t xml:space="preserve"> and other webpages </w:t>
      </w:r>
    </w:p>
    <w:p w14:paraId="4CCCE7AF" w14:textId="77777777" w:rsidR="00651F9B" w:rsidRPr="0018647A" w:rsidRDefault="00651F9B" w:rsidP="00651F9B">
      <w:pPr>
        <w:pStyle w:val="Testonotaapidipagina"/>
        <w:numPr>
          <w:ilvl w:val="0"/>
          <w:numId w:val="15"/>
        </w:numPr>
        <w:jc w:val="both"/>
        <w:rPr>
          <w:sz w:val="24"/>
          <w:szCs w:val="24"/>
          <w:lang w:val="en-GB"/>
        </w:rPr>
      </w:pPr>
      <w:proofErr w:type="spellStart"/>
      <w:r w:rsidRPr="0018647A">
        <w:rPr>
          <w:smallCaps/>
          <w:sz w:val="24"/>
          <w:szCs w:val="24"/>
          <w:lang w:val="en-GB"/>
        </w:rPr>
        <w:t>Bhageshpur</w:t>
      </w:r>
      <w:proofErr w:type="spellEnd"/>
      <w:r w:rsidRPr="0018647A">
        <w:rPr>
          <w:smallCaps/>
          <w:sz w:val="24"/>
          <w:szCs w:val="24"/>
          <w:lang w:val="en-GB"/>
        </w:rPr>
        <w:t xml:space="preserve"> K.</w:t>
      </w:r>
      <w:r w:rsidRPr="0018647A">
        <w:rPr>
          <w:sz w:val="24"/>
          <w:szCs w:val="24"/>
          <w:lang w:val="en-GB"/>
        </w:rPr>
        <w:t xml:space="preserve">, </w:t>
      </w:r>
      <w:r w:rsidRPr="0018647A">
        <w:rPr>
          <w:i/>
          <w:iCs/>
          <w:sz w:val="24"/>
          <w:szCs w:val="24"/>
          <w:lang w:val="en-GB"/>
        </w:rPr>
        <w:t xml:space="preserve">Data Is The New Oil -- And That's A Good Thing, </w:t>
      </w:r>
      <w:r>
        <w:rPr>
          <w:sz w:val="24"/>
          <w:szCs w:val="24"/>
          <w:lang w:val="en-GB"/>
        </w:rPr>
        <w:t>15 N</w:t>
      </w:r>
      <w:r w:rsidRPr="0018647A">
        <w:rPr>
          <w:sz w:val="24"/>
          <w:szCs w:val="24"/>
          <w:lang w:val="en-GB"/>
        </w:rPr>
        <w:t xml:space="preserve">ovember  2019, </w:t>
      </w:r>
      <w:hyperlink r:id="rId13" w:history="1">
        <w:r w:rsidRPr="003250AB">
          <w:rPr>
            <w:rStyle w:val="Collegamentoipertestuale"/>
            <w:sz w:val="24"/>
            <w:szCs w:val="24"/>
            <w:lang w:val="en-GB"/>
          </w:rPr>
          <w:t>https://www.forbes.com/sites/forbestechcouncil/2019/11/15/data-is-the-new-oil-and-thats-a-good-thing/</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p>
    <w:p w14:paraId="6BE10980" w14:textId="77777777" w:rsidR="00651F9B" w:rsidRPr="0018647A" w:rsidRDefault="00651F9B" w:rsidP="00651F9B">
      <w:pPr>
        <w:pStyle w:val="Testonotaapidipagina"/>
        <w:ind w:left="360"/>
        <w:jc w:val="both"/>
        <w:rPr>
          <w:sz w:val="24"/>
          <w:szCs w:val="24"/>
          <w:lang w:val="en-GB"/>
        </w:rPr>
      </w:pPr>
    </w:p>
    <w:p w14:paraId="3336670A" w14:textId="77777777" w:rsidR="00651F9B" w:rsidRPr="0018647A" w:rsidRDefault="00651F9B" w:rsidP="00651F9B">
      <w:pPr>
        <w:pStyle w:val="Testonotaapidipagina"/>
        <w:numPr>
          <w:ilvl w:val="0"/>
          <w:numId w:val="15"/>
        </w:numPr>
        <w:jc w:val="both"/>
        <w:rPr>
          <w:sz w:val="24"/>
          <w:szCs w:val="24"/>
          <w:lang w:val="en-GB"/>
        </w:rPr>
      </w:pPr>
      <w:r w:rsidRPr="0018647A">
        <w:rPr>
          <w:smallCaps/>
          <w:sz w:val="24"/>
          <w:szCs w:val="24"/>
          <w:lang w:val="en-GB"/>
        </w:rPr>
        <w:t>Christie’s</w:t>
      </w:r>
      <w:r w:rsidRPr="0018647A">
        <w:rPr>
          <w:sz w:val="24"/>
          <w:szCs w:val="24"/>
          <w:lang w:val="en-GB"/>
        </w:rPr>
        <w:t xml:space="preserve">, </w:t>
      </w:r>
      <w:r w:rsidRPr="0018647A">
        <w:rPr>
          <w:i/>
          <w:iCs/>
          <w:sz w:val="24"/>
          <w:szCs w:val="24"/>
          <w:lang w:val="en-GB"/>
        </w:rPr>
        <w:t xml:space="preserve">Is artificial intelligence set to become art’s next medium?, </w:t>
      </w:r>
      <w:hyperlink r:id="rId14" w:history="1">
        <w:r w:rsidRPr="0018647A">
          <w:rPr>
            <w:rStyle w:val="Collegamentoipertestuale"/>
            <w:sz w:val="24"/>
            <w:szCs w:val="24"/>
            <w:lang w:val="en-GB"/>
          </w:rPr>
          <w:t>https://www.christies.com/features/A-collaboration-between-two-artists-one-human-one-a-machine-9332-1.aspx</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r w:rsidRPr="0018647A">
        <w:rPr>
          <w:sz w:val="24"/>
          <w:szCs w:val="24"/>
          <w:lang w:val="en-GB"/>
        </w:rPr>
        <w:t xml:space="preserve">  </w:t>
      </w:r>
    </w:p>
    <w:p w14:paraId="491BC811" w14:textId="77777777" w:rsidR="00651F9B" w:rsidRPr="0018647A" w:rsidRDefault="00651F9B" w:rsidP="00651F9B">
      <w:pPr>
        <w:pStyle w:val="Testonotaapidipagina"/>
        <w:jc w:val="both"/>
        <w:rPr>
          <w:sz w:val="24"/>
          <w:szCs w:val="24"/>
          <w:lang w:val="en-GB"/>
        </w:rPr>
      </w:pPr>
    </w:p>
    <w:p w14:paraId="49D7216C" w14:textId="77777777" w:rsidR="00651F9B" w:rsidRDefault="00651F9B" w:rsidP="00651F9B">
      <w:pPr>
        <w:pStyle w:val="Testonotaapidipagina"/>
        <w:numPr>
          <w:ilvl w:val="0"/>
          <w:numId w:val="15"/>
        </w:numPr>
        <w:jc w:val="both"/>
        <w:rPr>
          <w:sz w:val="24"/>
          <w:szCs w:val="24"/>
          <w:lang w:val="en-GB"/>
        </w:rPr>
      </w:pPr>
      <w:r w:rsidRPr="0018647A">
        <w:rPr>
          <w:smallCaps/>
          <w:sz w:val="24"/>
          <w:szCs w:val="24"/>
          <w:lang w:val="en-GB"/>
        </w:rPr>
        <w:t>European Parliament press release</w:t>
      </w:r>
      <w:r w:rsidRPr="0018647A">
        <w:rPr>
          <w:sz w:val="24"/>
          <w:szCs w:val="24"/>
          <w:lang w:val="en-GB"/>
        </w:rPr>
        <w:t xml:space="preserve">, </w:t>
      </w:r>
      <w:r w:rsidRPr="0018647A">
        <w:rPr>
          <w:i/>
          <w:iCs/>
          <w:sz w:val="24"/>
          <w:szCs w:val="24"/>
          <w:lang w:val="en-GB"/>
        </w:rPr>
        <w:t xml:space="preserve">Free flow of non-personal data: Parliament approves EU’s fifth freedom, </w:t>
      </w:r>
      <w:r>
        <w:rPr>
          <w:sz w:val="24"/>
          <w:szCs w:val="24"/>
          <w:lang w:val="en-GB"/>
        </w:rPr>
        <w:t>4 O</w:t>
      </w:r>
      <w:r w:rsidRPr="0018647A">
        <w:rPr>
          <w:sz w:val="24"/>
          <w:szCs w:val="24"/>
          <w:lang w:val="en-GB"/>
        </w:rPr>
        <w:t xml:space="preserve">ctober 2018, https://www.europarl.europa.eu/news/it/press-room/20180926IPR14403/free-flow-of-non-personal-data-parliament-approves-eu-s-fifth-freedom, last accessed on </w:t>
      </w:r>
      <w:r>
        <w:rPr>
          <w:sz w:val="24"/>
          <w:szCs w:val="24"/>
          <w:lang w:val="en-GB"/>
        </w:rPr>
        <w:t xml:space="preserve">25 </w:t>
      </w:r>
      <w:r w:rsidRPr="0018647A">
        <w:rPr>
          <w:sz w:val="24"/>
          <w:szCs w:val="24"/>
          <w:lang w:val="en-GB"/>
        </w:rPr>
        <w:t>July 2020</w:t>
      </w:r>
      <w:r>
        <w:rPr>
          <w:sz w:val="24"/>
          <w:szCs w:val="24"/>
          <w:lang w:val="en-GB"/>
        </w:rPr>
        <w:t>.</w:t>
      </w:r>
    </w:p>
    <w:p w14:paraId="5D29FFA1" w14:textId="77777777" w:rsidR="00651F9B" w:rsidRDefault="00651F9B" w:rsidP="00651F9B">
      <w:pPr>
        <w:pStyle w:val="Paragrafoelenco"/>
        <w:rPr>
          <w:sz w:val="24"/>
          <w:szCs w:val="24"/>
          <w:lang w:val="en-GB"/>
        </w:rPr>
      </w:pPr>
    </w:p>
    <w:p w14:paraId="2F40A3B3" w14:textId="77777777" w:rsidR="00651F9B" w:rsidRPr="004A6C32"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Hugenholtz</w:t>
      </w:r>
      <w:proofErr w:type="spellEnd"/>
      <w:r>
        <w:rPr>
          <w:smallCaps/>
          <w:sz w:val="24"/>
          <w:szCs w:val="24"/>
          <w:lang w:val="en-GB"/>
        </w:rPr>
        <w:t xml:space="preserve"> B.</w:t>
      </w:r>
      <w:r w:rsidRPr="0018647A">
        <w:rPr>
          <w:smallCaps/>
          <w:sz w:val="24"/>
          <w:szCs w:val="24"/>
          <w:lang w:val="en-GB"/>
        </w:rPr>
        <w:t>,</w:t>
      </w:r>
      <w:r w:rsidRPr="0018647A">
        <w:rPr>
          <w:sz w:val="24"/>
          <w:szCs w:val="24"/>
          <w:lang w:val="en-GB"/>
        </w:rPr>
        <w:t xml:space="preserve"> </w:t>
      </w:r>
      <w:r w:rsidRPr="0018647A">
        <w:rPr>
          <w:i/>
          <w:iCs/>
          <w:sz w:val="24"/>
          <w:szCs w:val="24"/>
          <w:lang w:val="en-GB"/>
        </w:rPr>
        <w:t>The New Copyright Directive: Text and Data Mining (Articles 3 and 4)</w:t>
      </w:r>
      <w:r w:rsidRPr="0018647A">
        <w:rPr>
          <w:sz w:val="24"/>
          <w:szCs w:val="24"/>
          <w:lang w:val="en-GB"/>
        </w:rPr>
        <w:t xml:space="preserve">, in </w:t>
      </w:r>
      <w:r w:rsidRPr="004A6C32">
        <w:rPr>
          <w:i/>
          <w:iCs/>
          <w:sz w:val="24"/>
          <w:szCs w:val="24"/>
          <w:lang w:val="en-GB"/>
        </w:rPr>
        <w:t>Kluwer Copyright Blog</w:t>
      </w:r>
      <w:r w:rsidRPr="0018647A">
        <w:rPr>
          <w:sz w:val="24"/>
          <w:szCs w:val="24"/>
          <w:lang w:val="en-GB"/>
        </w:rPr>
        <w:t xml:space="preserve">, </w:t>
      </w:r>
      <w:r>
        <w:rPr>
          <w:sz w:val="24"/>
          <w:szCs w:val="24"/>
          <w:lang w:val="en-GB"/>
        </w:rPr>
        <w:t xml:space="preserve">24 </w:t>
      </w:r>
      <w:r w:rsidRPr="0018647A">
        <w:rPr>
          <w:sz w:val="24"/>
          <w:szCs w:val="24"/>
          <w:lang w:val="en-GB"/>
        </w:rPr>
        <w:t>July 2019</w:t>
      </w:r>
      <w:r>
        <w:rPr>
          <w:sz w:val="24"/>
          <w:szCs w:val="24"/>
          <w:lang w:val="en-GB"/>
        </w:rPr>
        <w:t xml:space="preserve">, </w:t>
      </w:r>
      <w:hyperlink r:id="rId15" w:history="1">
        <w:r w:rsidRPr="003250AB">
          <w:rPr>
            <w:rStyle w:val="Collegamentoipertestuale"/>
            <w:sz w:val="24"/>
            <w:szCs w:val="24"/>
            <w:lang w:val="en-GB"/>
          </w:rPr>
          <w:t>http://copyrightblog.kluweriplaw.com/2019/07/24/the-new-copyright-directive-text-and-data-mining-articles-3-and-4/</w:t>
        </w:r>
      </w:hyperlink>
      <w:r>
        <w:rPr>
          <w:sz w:val="24"/>
          <w:szCs w:val="24"/>
          <w:lang w:val="en-GB"/>
        </w:rPr>
        <w:t>, last accessed on 25 July 2020.</w:t>
      </w:r>
    </w:p>
    <w:p w14:paraId="5DD4C631" w14:textId="77777777" w:rsidR="00651F9B" w:rsidRPr="0018647A" w:rsidRDefault="00651F9B" w:rsidP="00651F9B">
      <w:pPr>
        <w:pStyle w:val="Testonotaapidipagina"/>
        <w:ind w:left="360"/>
        <w:jc w:val="both"/>
        <w:rPr>
          <w:sz w:val="24"/>
          <w:szCs w:val="24"/>
          <w:lang w:val="en-GB"/>
        </w:rPr>
      </w:pPr>
    </w:p>
    <w:p w14:paraId="46C44089" w14:textId="77777777" w:rsidR="00651F9B" w:rsidRPr="0018647A" w:rsidRDefault="00651F9B" w:rsidP="00651F9B">
      <w:pPr>
        <w:pStyle w:val="Testonotaapidipagina"/>
        <w:numPr>
          <w:ilvl w:val="0"/>
          <w:numId w:val="15"/>
        </w:numPr>
        <w:jc w:val="both"/>
        <w:rPr>
          <w:sz w:val="24"/>
          <w:szCs w:val="24"/>
          <w:lang w:val="en-GB"/>
        </w:rPr>
      </w:pPr>
      <w:r w:rsidRPr="0018647A">
        <w:rPr>
          <w:smallCaps/>
          <w:sz w:val="24"/>
          <w:szCs w:val="24"/>
          <w:lang w:val="en-GB"/>
        </w:rPr>
        <w:lastRenderedPageBreak/>
        <w:t>Nugent</w:t>
      </w:r>
      <w:r>
        <w:rPr>
          <w:smallCaps/>
          <w:sz w:val="24"/>
          <w:szCs w:val="24"/>
          <w:lang w:val="en-GB"/>
        </w:rPr>
        <w:t xml:space="preserve"> C.</w:t>
      </w:r>
      <w:r w:rsidRPr="0018647A">
        <w:rPr>
          <w:sz w:val="24"/>
          <w:szCs w:val="24"/>
          <w:lang w:val="en-GB"/>
        </w:rPr>
        <w:t xml:space="preserve">, </w:t>
      </w:r>
      <w:r w:rsidRPr="0018647A">
        <w:rPr>
          <w:i/>
          <w:iCs/>
          <w:sz w:val="24"/>
          <w:szCs w:val="24"/>
          <w:lang w:val="en-GB"/>
        </w:rPr>
        <w:t xml:space="preserve">The Painter Behind These Artworks Is an AI Program. Do They Still Count as </w:t>
      </w:r>
      <w:proofErr w:type="gramStart"/>
      <w:r w:rsidRPr="0018647A">
        <w:rPr>
          <w:i/>
          <w:iCs/>
          <w:sz w:val="24"/>
          <w:szCs w:val="24"/>
          <w:lang w:val="en-GB"/>
        </w:rPr>
        <w:t>Art?,</w:t>
      </w:r>
      <w:proofErr w:type="gramEnd"/>
      <w:r w:rsidRPr="0018647A">
        <w:rPr>
          <w:i/>
          <w:iCs/>
          <w:sz w:val="24"/>
          <w:szCs w:val="24"/>
          <w:lang w:val="en-GB"/>
        </w:rPr>
        <w:t xml:space="preserve"> </w:t>
      </w:r>
      <w:r>
        <w:rPr>
          <w:sz w:val="24"/>
          <w:szCs w:val="24"/>
          <w:lang w:val="en-GB"/>
        </w:rPr>
        <w:t>20 A</w:t>
      </w:r>
      <w:r w:rsidRPr="0018647A">
        <w:rPr>
          <w:sz w:val="24"/>
          <w:szCs w:val="24"/>
          <w:lang w:val="en-GB"/>
        </w:rPr>
        <w:t xml:space="preserve">ugust </w:t>
      </w:r>
      <w:r>
        <w:rPr>
          <w:sz w:val="24"/>
          <w:szCs w:val="24"/>
          <w:lang w:val="en-GB"/>
        </w:rPr>
        <w:t>2</w:t>
      </w:r>
      <w:r w:rsidRPr="0018647A">
        <w:rPr>
          <w:sz w:val="24"/>
          <w:szCs w:val="24"/>
          <w:lang w:val="en-GB"/>
        </w:rPr>
        <w:t xml:space="preserve">018, </w:t>
      </w:r>
      <w:hyperlink r:id="rId16" w:history="1">
        <w:r w:rsidRPr="0018647A">
          <w:rPr>
            <w:rStyle w:val="Collegamentoipertestuale"/>
            <w:sz w:val="24"/>
            <w:szCs w:val="24"/>
            <w:lang w:val="en-GB"/>
          </w:rPr>
          <w:t>https://time.com/5357221/obvious-artificial-intelligence-art/</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p>
    <w:p w14:paraId="71EC8F79" w14:textId="77777777" w:rsidR="00651F9B" w:rsidRPr="0018647A" w:rsidRDefault="00651F9B" w:rsidP="00651F9B">
      <w:pPr>
        <w:pStyle w:val="Testonotaapidipagina"/>
        <w:ind w:left="360"/>
        <w:jc w:val="both"/>
        <w:rPr>
          <w:sz w:val="24"/>
          <w:szCs w:val="24"/>
          <w:lang w:val="en-GB"/>
        </w:rPr>
      </w:pPr>
    </w:p>
    <w:p w14:paraId="1B490EA5" w14:textId="77777777" w:rsidR="00651F9B" w:rsidRPr="0018647A" w:rsidRDefault="00651F9B" w:rsidP="00651F9B">
      <w:pPr>
        <w:pStyle w:val="Testonotaapidipagina"/>
        <w:numPr>
          <w:ilvl w:val="0"/>
          <w:numId w:val="15"/>
        </w:numPr>
        <w:jc w:val="both"/>
        <w:rPr>
          <w:sz w:val="24"/>
          <w:szCs w:val="24"/>
          <w:lang w:val="en-GB"/>
        </w:rPr>
      </w:pPr>
      <w:proofErr w:type="spellStart"/>
      <w:r w:rsidRPr="0018647A">
        <w:rPr>
          <w:smallCaps/>
          <w:sz w:val="24"/>
          <w:szCs w:val="24"/>
          <w:lang w:val="en-GB"/>
        </w:rPr>
        <w:t>Stamatoudi</w:t>
      </w:r>
      <w:proofErr w:type="spellEnd"/>
      <w:r>
        <w:rPr>
          <w:smallCaps/>
          <w:sz w:val="24"/>
          <w:szCs w:val="24"/>
          <w:lang w:val="en-GB"/>
        </w:rPr>
        <w:t xml:space="preserve"> I.</w:t>
      </w:r>
      <w:r w:rsidRPr="0018647A">
        <w:rPr>
          <w:sz w:val="24"/>
          <w:szCs w:val="24"/>
          <w:lang w:val="en-GB"/>
        </w:rPr>
        <w:t xml:space="preserve">, </w:t>
      </w:r>
      <w:r w:rsidRPr="0018647A">
        <w:rPr>
          <w:i/>
          <w:iCs/>
          <w:sz w:val="24"/>
          <w:szCs w:val="24"/>
          <w:lang w:val="en-GB"/>
        </w:rPr>
        <w:t>An EU exception for Text and Data Mining in the pipeline</w:t>
      </w:r>
      <w:r w:rsidRPr="0018647A">
        <w:rPr>
          <w:sz w:val="24"/>
          <w:szCs w:val="24"/>
          <w:lang w:val="en-GB"/>
        </w:rPr>
        <w:t xml:space="preserve">, in </w:t>
      </w:r>
      <w:r w:rsidRPr="004A6C32">
        <w:rPr>
          <w:i/>
          <w:iCs/>
          <w:sz w:val="24"/>
          <w:szCs w:val="24"/>
          <w:lang w:val="en-GB"/>
        </w:rPr>
        <w:t>Kluwer Copyright Blog</w:t>
      </w:r>
      <w:r w:rsidRPr="0018647A">
        <w:rPr>
          <w:sz w:val="24"/>
          <w:szCs w:val="24"/>
          <w:lang w:val="en-GB"/>
        </w:rPr>
        <w:t xml:space="preserve">, </w:t>
      </w:r>
      <w:r>
        <w:rPr>
          <w:sz w:val="24"/>
          <w:szCs w:val="24"/>
          <w:lang w:val="en-GB"/>
        </w:rPr>
        <w:t xml:space="preserve">11 </w:t>
      </w:r>
      <w:r w:rsidRPr="0018647A">
        <w:rPr>
          <w:sz w:val="24"/>
          <w:szCs w:val="24"/>
          <w:lang w:val="en-GB"/>
        </w:rPr>
        <w:t xml:space="preserve">May 2016, </w:t>
      </w:r>
      <w:hyperlink r:id="rId17" w:history="1">
        <w:r w:rsidRPr="003250AB">
          <w:rPr>
            <w:rStyle w:val="Collegamentoipertestuale"/>
            <w:sz w:val="24"/>
            <w:szCs w:val="24"/>
            <w:lang w:val="en-GB"/>
          </w:rPr>
          <w:t>http://copyrightblog.kluweriplaw.com/2016/05/11/eu-exception-text-data-mining-pipeline/</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p>
    <w:p w14:paraId="5CC382D1" w14:textId="77777777" w:rsidR="00651F9B" w:rsidRPr="0018647A" w:rsidRDefault="00651F9B" w:rsidP="00651F9B">
      <w:pPr>
        <w:pStyle w:val="Testonotaapidipagina"/>
        <w:jc w:val="both"/>
        <w:rPr>
          <w:sz w:val="24"/>
          <w:szCs w:val="24"/>
          <w:lang w:val="en-GB"/>
        </w:rPr>
      </w:pPr>
    </w:p>
    <w:p w14:paraId="537E7294" w14:textId="77777777" w:rsidR="00651F9B" w:rsidRPr="0018647A" w:rsidRDefault="00651F9B" w:rsidP="00651F9B">
      <w:pPr>
        <w:pStyle w:val="Testonotaapidipagina"/>
        <w:numPr>
          <w:ilvl w:val="0"/>
          <w:numId w:val="15"/>
        </w:numPr>
        <w:jc w:val="both"/>
        <w:rPr>
          <w:sz w:val="24"/>
          <w:szCs w:val="24"/>
          <w:lang w:val="en-GB"/>
        </w:rPr>
      </w:pPr>
      <w:r w:rsidRPr="0018647A">
        <w:rPr>
          <w:smallCaps/>
          <w:sz w:val="24"/>
          <w:szCs w:val="24"/>
          <w:lang w:val="en-GB"/>
        </w:rPr>
        <w:t>The Economist</w:t>
      </w:r>
      <w:r w:rsidRPr="0018647A">
        <w:rPr>
          <w:sz w:val="24"/>
          <w:szCs w:val="24"/>
          <w:lang w:val="en-GB"/>
        </w:rPr>
        <w:t xml:space="preserve">, </w:t>
      </w:r>
      <w:r w:rsidRPr="0018647A">
        <w:rPr>
          <w:i/>
          <w:iCs/>
          <w:sz w:val="24"/>
          <w:szCs w:val="24"/>
          <w:lang w:val="en-GB"/>
        </w:rPr>
        <w:t>The world’s most valuable resource is no longer oil, but data</w:t>
      </w:r>
      <w:r w:rsidRPr="0018647A">
        <w:rPr>
          <w:sz w:val="24"/>
          <w:szCs w:val="24"/>
          <w:lang w:val="en-GB"/>
        </w:rPr>
        <w:t xml:space="preserve">, </w:t>
      </w:r>
      <w:r>
        <w:rPr>
          <w:sz w:val="24"/>
          <w:szCs w:val="24"/>
          <w:lang w:val="en-GB"/>
        </w:rPr>
        <w:t xml:space="preserve">6 </w:t>
      </w:r>
      <w:r w:rsidRPr="0018647A">
        <w:rPr>
          <w:sz w:val="24"/>
          <w:szCs w:val="24"/>
          <w:lang w:val="en-GB"/>
        </w:rPr>
        <w:t xml:space="preserve">May 2017, </w:t>
      </w:r>
      <w:hyperlink r:id="rId18" w:history="1">
        <w:r w:rsidRPr="0018647A">
          <w:rPr>
            <w:rStyle w:val="Collegamentoipertestuale"/>
            <w:sz w:val="24"/>
            <w:szCs w:val="24"/>
            <w:lang w:val="en-GB"/>
          </w:rPr>
          <w:t>https://www.economist.com/leaders/2017/05/06/the-worlds-most-valuable-resource-is-no-longer-oil-but-data</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July 2020</w:t>
      </w:r>
      <w:r>
        <w:rPr>
          <w:sz w:val="24"/>
          <w:szCs w:val="24"/>
          <w:lang w:val="en-GB"/>
        </w:rPr>
        <w:t>.</w:t>
      </w:r>
    </w:p>
    <w:p w14:paraId="34FE6BC3" w14:textId="77777777" w:rsidR="00651F9B" w:rsidRPr="0018647A" w:rsidRDefault="00651F9B" w:rsidP="00651F9B">
      <w:pPr>
        <w:pStyle w:val="Testonotaapidipagina"/>
        <w:ind w:left="360"/>
        <w:jc w:val="both"/>
        <w:rPr>
          <w:sz w:val="24"/>
          <w:szCs w:val="24"/>
          <w:lang w:val="en-GB"/>
        </w:rPr>
      </w:pPr>
    </w:p>
    <w:p w14:paraId="1F78E312" w14:textId="77777777" w:rsidR="00651F9B" w:rsidRPr="0018647A" w:rsidRDefault="00651F9B" w:rsidP="00651F9B">
      <w:pPr>
        <w:pStyle w:val="Paragrafoelenco"/>
        <w:numPr>
          <w:ilvl w:val="0"/>
          <w:numId w:val="15"/>
        </w:numPr>
        <w:jc w:val="both"/>
        <w:rPr>
          <w:sz w:val="24"/>
          <w:szCs w:val="24"/>
          <w:lang w:val="en-GB"/>
        </w:rPr>
      </w:pPr>
      <w:proofErr w:type="spellStart"/>
      <w:r w:rsidRPr="0018647A">
        <w:rPr>
          <w:smallCaps/>
          <w:sz w:val="24"/>
          <w:szCs w:val="24"/>
          <w:lang w:val="en-GB"/>
        </w:rPr>
        <w:t>Turkewitz</w:t>
      </w:r>
      <w:proofErr w:type="spellEnd"/>
      <w:r>
        <w:rPr>
          <w:smallCaps/>
          <w:sz w:val="24"/>
          <w:szCs w:val="24"/>
          <w:lang w:val="en-GB"/>
        </w:rPr>
        <w:t xml:space="preserve"> N.</w:t>
      </w:r>
      <w:r w:rsidRPr="0018647A">
        <w:rPr>
          <w:smallCaps/>
          <w:sz w:val="24"/>
          <w:szCs w:val="24"/>
          <w:lang w:val="en-GB"/>
        </w:rPr>
        <w:t>,</w:t>
      </w:r>
      <w:r w:rsidRPr="0018647A">
        <w:rPr>
          <w:sz w:val="24"/>
          <w:szCs w:val="24"/>
          <w:lang w:val="en-GB"/>
        </w:rPr>
        <w:t xml:space="preserve"> </w:t>
      </w:r>
      <w:r w:rsidRPr="0018647A">
        <w:rPr>
          <w:i/>
          <w:iCs/>
          <w:sz w:val="24"/>
          <w:szCs w:val="24"/>
          <w:lang w:val="en-GB"/>
        </w:rPr>
        <w:t>Sustainable Text and Data Mining: A Look at the Recent EU Copyright Directive</w:t>
      </w:r>
      <w:r w:rsidRPr="0018647A">
        <w:rPr>
          <w:sz w:val="24"/>
          <w:szCs w:val="24"/>
          <w:lang w:val="en-GB"/>
        </w:rPr>
        <w:t xml:space="preserve">, 2019, </w:t>
      </w:r>
      <w:hyperlink r:id="rId19" w:history="1">
        <w:r w:rsidRPr="0018647A">
          <w:rPr>
            <w:rStyle w:val="Collegamentoipertestuale"/>
            <w:sz w:val="24"/>
            <w:szCs w:val="24"/>
            <w:lang w:val="en-GB"/>
          </w:rPr>
          <w:t>https://medium.com/@nturkewitz_56674/sustainabletext-and-data-mining-an-look-at-the-recent-eu-copyright-directive-9ea13ba05f60</w:t>
        </w:r>
      </w:hyperlink>
      <w:r w:rsidRPr="0018647A">
        <w:rPr>
          <w:rStyle w:val="Collegamentoipertestuale"/>
          <w:color w:val="auto"/>
          <w:sz w:val="24"/>
          <w:szCs w:val="24"/>
          <w:u w:val="none"/>
          <w:lang w:val="en-GB"/>
        </w:rPr>
        <w:t xml:space="preserve">, last accessed on </w:t>
      </w:r>
      <w:r>
        <w:rPr>
          <w:rStyle w:val="Collegamentoipertestuale"/>
          <w:color w:val="auto"/>
          <w:sz w:val="24"/>
          <w:szCs w:val="24"/>
          <w:u w:val="none"/>
          <w:lang w:val="en-GB"/>
        </w:rPr>
        <w:t xml:space="preserve">25 </w:t>
      </w:r>
      <w:r w:rsidRPr="0018647A">
        <w:rPr>
          <w:rStyle w:val="Collegamentoipertestuale"/>
          <w:color w:val="auto"/>
          <w:sz w:val="24"/>
          <w:szCs w:val="24"/>
          <w:u w:val="none"/>
          <w:lang w:val="en-GB"/>
        </w:rPr>
        <w:t>July 2020</w:t>
      </w:r>
      <w:r>
        <w:rPr>
          <w:rStyle w:val="Collegamentoipertestuale"/>
          <w:color w:val="auto"/>
          <w:sz w:val="24"/>
          <w:szCs w:val="24"/>
          <w:u w:val="none"/>
          <w:lang w:val="en-GB"/>
        </w:rPr>
        <w:t>.</w:t>
      </w:r>
    </w:p>
    <w:p w14:paraId="7BABEB19" w14:textId="77777777" w:rsidR="00651F9B" w:rsidRPr="0018647A" w:rsidRDefault="00651F9B" w:rsidP="00651F9B">
      <w:pPr>
        <w:pStyle w:val="Paragrafoelenco"/>
        <w:rPr>
          <w:sz w:val="24"/>
          <w:szCs w:val="24"/>
          <w:lang w:val="en-GB"/>
        </w:rPr>
      </w:pPr>
    </w:p>
    <w:p w14:paraId="0D671BD1" w14:textId="77777777" w:rsidR="00651F9B" w:rsidRDefault="00651F9B" w:rsidP="00651F9B">
      <w:pPr>
        <w:pStyle w:val="Paragrafoelenco"/>
        <w:numPr>
          <w:ilvl w:val="0"/>
          <w:numId w:val="15"/>
        </w:numPr>
        <w:jc w:val="both"/>
        <w:rPr>
          <w:sz w:val="24"/>
          <w:szCs w:val="24"/>
          <w:lang w:val="en-GB"/>
        </w:rPr>
      </w:pPr>
      <w:r w:rsidRPr="0018647A">
        <w:rPr>
          <w:smallCaps/>
          <w:sz w:val="24"/>
          <w:szCs w:val="24"/>
          <w:lang w:val="en-GB"/>
        </w:rPr>
        <w:t>Vincent</w:t>
      </w:r>
      <w:r>
        <w:rPr>
          <w:smallCaps/>
          <w:sz w:val="24"/>
          <w:szCs w:val="24"/>
          <w:lang w:val="en-GB"/>
        </w:rPr>
        <w:t xml:space="preserve"> J.</w:t>
      </w:r>
      <w:r w:rsidRPr="0018647A">
        <w:rPr>
          <w:sz w:val="24"/>
          <w:szCs w:val="24"/>
          <w:lang w:val="en-GB"/>
        </w:rPr>
        <w:t xml:space="preserve">, </w:t>
      </w:r>
      <w:r w:rsidRPr="0018647A">
        <w:rPr>
          <w:i/>
          <w:iCs/>
          <w:sz w:val="24"/>
          <w:szCs w:val="24"/>
          <w:lang w:val="en-GB"/>
        </w:rPr>
        <w:t>How Three French Students Used Borrowed Code to Put the First AI Portrait in Christie’s</w:t>
      </w:r>
      <w:r w:rsidRPr="0018647A">
        <w:rPr>
          <w:sz w:val="24"/>
          <w:szCs w:val="24"/>
          <w:lang w:val="en-GB"/>
        </w:rPr>
        <w:t xml:space="preserve">, </w:t>
      </w:r>
      <w:hyperlink r:id="rId20" w:history="1">
        <w:r w:rsidRPr="0018647A">
          <w:rPr>
            <w:rStyle w:val="Collegamentoipertestuale"/>
            <w:sz w:val="24"/>
            <w:szCs w:val="24"/>
            <w:lang w:val="en-GB"/>
          </w:rPr>
          <w:t>https://www.theverge.com/2018/10/23/18013190/ai-art-portrait-auction-christies-belamy-obvious-robbie-barrat-gans</w:t>
        </w:r>
      </w:hyperlink>
      <w:r w:rsidRPr="0018647A">
        <w:rPr>
          <w:sz w:val="24"/>
          <w:szCs w:val="24"/>
          <w:lang w:val="en-GB"/>
        </w:rPr>
        <w:t xml:space="preserve">, last accessed on </w:t>
      </w:r>
      <w:r>
        <w:rPr>
          <w:sz w:val="24"/>
          <w:szCs w:val="24"/>
          <w:lang w:val="en-GB"/>
        </w:rPr>
        <w:t xml:space="preserve">25 </w:t>
      </w:r>
      <w:r w:rsidRPr="0018647A">
        <w:rPr>
          <w:sz w:val="24"/>
          <w:szCs w:val="24"/>
          <w:lang w:val="en-GB"/>
        </w:rPr>
        <w:t xml:space="preserve">July 2020.  </w:t>
      </w:r>
    </w:p>
    <w:p w14:paraId="47A2CC9C" w14:textId="77777777" w:rsidR="00651F9B" w:rsidRPr="009E4B17" w:rsidRDefault="00651F9B" w:rsidP="00651F9B">
      <w:pPr>
        <w:pStyle w:val="Paragrafoelenco"/>
        <w:rPr>
          <w:sz w:val="24"/>
          <w:szCs w:val="24"/>
          <w:lang w:val="en-GB"/>
        </w:rPr>
      </w:pPr>
    </w:p>
    <w:p w14:paraId="4B90528A" w14:textId="77777777" w:rsidR="00651F9B" w:rsidRPr="003347C9" w:rsidRDefault="00651F9B" w:rsidP="00651F9B">
      <w:pPr>
        <w:jc w:val="both"/>
        <w:rPr>
          <w:b/>
          <w:bCs/>
          <w:sz w:val="24"/>
          <w:szCs w:val="24"/>
          <w:lang w:val="en-GB"/>
        </w:rPr>
      </w:pPr>
      <w:r w:rsidRPr="003347C9">
        <w:rPr>
          <w:b/>
          <w:bCs/>
          <w:sz w:val="24"/>
          <w:szCs w:val="24"/>
          <w:lang w:val="en-GB"/>
        </w:rPr>
        <w:t xml:space="preserve">Court decisions  </w:t>
      </w:r>
    </w:p>
    <w:p w14:paraId="7ABB581D" w14:textId="77777777" w:rsidR="00651F9B" w:rsidRPr="003347C9" w:rsidRDefault="00651F9B" w:rsidP="00651F9B">
      <w:pPr>
        <w:jc w:val="both"/>
        <w:rPr>
          <w:sz w:val="24"/>
          <w:szCs w:val="24"/>
          <w:u w:val="single"/>
          <w:lang w:val="en-GB"/>
        </w:rPr>
      </w:pPr>
      <w:r w:rsidRPr="003347C9">
        <w:rPr>
          <w:sz w:val="24"/>
          <w:szCs w:val="24"/>
          <w:u w:val="single"/>
          <w:lang w:val="en-GB"/>
        </w:rPr>
        <w:t>A. Germany</w:t>
      </w:r>
    </w:p>
    <w:p w14:paraId="00304487" w14:textId="77777777" w:rsidR="00651F9B" w:rsidRDefault="00651F9B" w:rsidP="00651F9B">
      <w:pPr>
        <w:pStyle w:val="Testonotaapidipagina"/>
        <w:numPr>
          <w:ilvl w:val="0"/>
          <w:numId w:val="16"/>
        </w:numPr>
        <w:ind w:left="284" w:hanging="284"/>
        <w:jc w:val="both"/>
        <w:rPr>
          <w:sz w:val="24"/>
          <w:szCs w:val="24"/>
          <w:lang w:val="en-GB"/>
        </w:rPr>
      </w:pPr>
      <w:r w:rsidRPr="003347C9">
        <w:rPr>
          <w:sz w:val="24"/>
          <w:szCs w:val="24"/>
          <w:lang w:val="en-GB"/>
        </w:rPr>
        <w:t xml:space="preserve">Painter v Google 3 O 1108/05, </w:t>
      </w:r>
      <w:proofErr w:type="spellStart"/>
      <w:r w:rsidRPr="003347C9">
        <w:rPr>
          <w:sz w:val="24"/>
          <w:szCs w:val="24"/>
          <w:lang w:val="en-GB"/>
        </w:rPr>
        <w:t>Landgericht</w:t>
      </w:r>
      <w:proofErr w:type="spellEnd"/>
      <w:r w:rsidRPr="003347C9">
        <w:rPr>
          <w:sz w:val="24"/>
          <w:szCs w:val="24"/>
          <w:lang w:val="en-GB"/>
        </w:rPr>
        <w:t xml:space="preserve"> Erfurt, 15 March 2007</w:t>
      </w:r>
      <w:r>
        <w:rPr>
          <w:sz w:val="24"/>
          <w:szCs w:val="24"/>
          <w:lang w:val="en-GB"/>
        </w:rPr>
        <w:t>.</w:t>
      </w:r>
    </w:p>
    <w:p w14:paraId="56C1A969" w14:textId="77777777" w:rsidR="00651F9B" w:rsidRPr="003347C9" w:rsidRDefault="00651F9B" w:rsidP="00651F9B">
      <w:pPr>
        <w:pStyle w:val="Testonotaapidipagina"/>
        <w:ind w:left="284"/>
        <w:jc w:val="both"/>
        <w:rPr>
          <w:sz w:val="24"/>
          <w:szCs w:val="24"/>
          <w:lang w:val="en-GB"/>
        </w:rPr>
      </w:pPr>
    </w:p>
    <w:p w14:paraId="5E8D0E17" w14:textId="77777777" w:rsidR="00651F9B" w:rsidRDefault="00651F9B" w:rsidP="00651F9B">
      <w:pPr>
        <w:pStyle w:val="Testonotaapidipagina"/>
        <w:numPr>
          <w:ilvl w:val="0"/>
          <w:numId w:val="16"/>
        </w:numPr>
        <w:ind w:left="284" w:hanging="284"/>
        <w:rPr>
          <w:sz w:val="24"/>
          <w:szCs w:val="24"/>
          <w:lang w:val="en-GB"/>
        </w:rPr>
      </w:pPr>
      <w:r w:rsidRPr="003347C9">
        <w:rPr>
          <w:sz w:val="24"/>
          <w:szCs w:val="24"/>
          <w:lang w:val="en-GB"/>
        </w:rPr>
        <w:t>Higher Regional Court of Jena, 27 February 2008, 2 U 319/07</w:t>
      </w:r>
      <w:r>
        <w:rPr>
          <w:sz w:val="24"/>
          <w:szCs w:val="24"/>
          <w:lang w:val="en-GB"/>
        </w:rPr>
        <w:t>.</w:t>
      </w:r>
    </w:p>
    <w:p w14:paraId="646274A0" w14:textId="77777777" w:rsidR="00651F9B" w:rsidRPr="003347C9" w:rsidRDefault="00651F9B" w:rsidP="00651F9B">
      <w:pPr>
        <w:pStyle w:val="Testonotaapidipagina"/>
        <w:rPr>
          <w:sz w:val="24"/>
          <w:szCs w:val="24"/>
          <w:lang w:val="en-GB"/>
        </w:rPr>
      </w:pPr>
    </w:p>
    <w:p w14:paraId="30210A06" w14:textId="77777777" w:rsidR="00651F9B" w:rsidRPr="003347C9" w:rsidRDefault="00651F9B" w:rsidP="00651F9B">
      <w:pPr>
        <w:pStyle w:val="Testonotaapidipagina"/>
        <w:numPr>
          <w:ilvl w:val="0"/>
          <w:numId w:val="16"/>
        </w:numPr>
        <w:ind w:left="284" w:hanging="284"/>
        <w:jc w:val="both"/>
        <w:rPr>
          <w:sz w:val="24"/>
          <w:szCs w:val="24"/>
          <w:lang w:val="en-GB"/>
        </w:rPr>
      </w:pPr>
      <w:r w:rsidRPr="003347C9">
        <w:rPr>
          <w:sz w:val="24"/>
          <w:szCs w:val="24"/>
          <w:lang w:val="en-GB"/>
        </w:rPr>
        <w:t>German Federal Supreme Court (</w:t>
      </w:r>
      <w:proofErr w:type="spellStart"/>
      <w:r w:rsidRPr="003347C9">
        <w:rPr>
          <w:sz w:val="24"/>
          <w:szCs w:val="24"/>
          <w:lang w:val="en-GB"/>
        </w:rPr>
        <w:t>Bundesgerichtshof</w:t>
      </w:r>
      <w:proofErr w:type="spellEnd"/>
      <w:r w:rsidRPr="003347C9">
        <w:rPr>
          <w:sz w:val="24"/>
          <w:szCs w:val="24"/>
          <w:lang w:val="en-GB"/>
        </w:rPr>
        <w:t>), 29 April 2010, I ZR 69/08 (‘</w:t>
      </w:r>
      <w:proofErr w:type="spellStart"/>
      <w:r w:rsidRPr="003347C9">
        <w:rPr>
          <w:sz w:val="24"/>
          <w:szCs w:val="24"/>
          <w:lang w:val="en-GB"/>
        </w:rPr>
        <w:t>Vorschaubilder</w:t>
      </w:r>
      <w:proofErr w:type="spellEnd"/>
      <w:r w:rsidRPr="003347C9">
        <w:rPr>
          <w:sz w:val="24"/>
          <w:szCs w:val="24"/>
          <w:lang w:val="en-GB"/>
        </w:rPr>
        <w:t>’)</w:t>
      </w:r>
      <w:r>
        <w:rPr>
          <w:sz w:val="24"/>
          <w:szCs w:val="24"/>
          <w:lang w:val="en-GB"/>
        </w:rPr>
        <w:t>.</w:t>
      </w:r>
    </w:p>
    <w:p w14:paraId="7E8A513B" w14:textId="77777777" w:rsidR="00651F9B" w:rsidRDefault="00651F9B" w:rsidP="00651F9B">
      <w:pPr>
        <w:jc w:val="both"/>
        <w:rPr>
          <w:sz w:val="24"/>
          <w:szCs w:val="24"/>
          <w:u w:val="single"/>
          <w:lang w:val="en-GB"/>
        </w:rPr>
      </w:pPr>
    </w:p>
    <w:p w14:paraId="1B5B4876" w14:textId="77777777" w:rsidR="00651F9B" w:rsidRDefault="00651F9B" w:rsidP="00651F9B">
      <w:pPr>
        <w:jc w:val="both"/>
        <w:rPr>
          <w:sz w:val="24"/>
          <w:szCs w:val="24"/>
          <w:u w:val="single"/>
          <w:lang w:val="en-GB"/>
        </w:rPr>
      </w:pPr>
      <w:r w:rsidRPr="003347C9">
        <w:rPr>
          <w:sz w:val="24"/>
          <w:szCs w:val="24"/>
          <w:u w:val="single"/>
          <w:lang w:val="en-GB"/>
        </w:rPr>
        <w:t>B. European Union</w:t>
      </w:r>
    </w:p>
    <w:p w14:paraId="17F78C72" w14:textId="77777777" w:rsidR="00651F9B" w:rsidRDefault="00651F9B" w:rsidP="00651F9B">
      <w:pPr>
        <w:pStyle w:val="Testonotaapidipagina"/>
        <w:numPr>
          <w:ilvl w:val="0"/>
          <w:numId w:val="18"/>
        </w:numPr>
        <w:rPr>
          <w:sz w:val="24"/>
          <w:szCs w:val="24"/>
          <w:lang w:val="en-GB"/>
        </w:rPr>
      </w:pPr>
      <w:r w:rsidRPr="003347C9">
        <w:rPr>
          <w:sz w:val="24"/>
          <w:szCs w:val="24"/>
          <w:lang w:val="en-GB"/>
        </w:rPr>
        <w:t xml:space="preserve">CJEU, case C-203/02, British Horseracing Board Ltd v. William Hill Organization Ltd., </w:t>
      </w:r>
      <w:r>
        <w:rPr>
          <w:sz w:val="24"/>
          <w:szCs w:val="24"/>
          <w:lang w:val="en-GB"/>
        </w:rPr>
        <w:t xml:space="preserve">9 </w:t>
      </w:r>
      <w:r w:rsidRPr="003347C9">
        <w:rPr>
          <w:sz w:val="24"/>
          <w:szCs w:val="24"/>
          <w:lang w:val="en-GB"/>
        </w:rPr>
        <w:t>November 2004</w:t>
      </w:r>
      <w:r>
        <w:rPr>
          <w:sz w:val="24"/>
          <w:szCs w:val="24"/>
          <w:lang w:val="en-GB"/>
        </w:rPr>
        <w:t>.</w:t>
      </w:r>
    </w:p>
    <w:p w14:paraId="0ED3A006" w14:textId="77777777" w:rsidR="00651F9B" w:rsidRPr="003347C9" w:rsidRDefault="00651F9B" w:rsidP="00651F9B">
      <w:pPr>
        <w:pStyle w:val="Testonotaapidipagina"/>
        <w:ind w:left="360"/>
        <w:jc w:val="both"/>
        <w:rPr>
          <w:sz w:val="24"/>
          <w:szCs w:val="24"/>
          <w:lang w:val="en-GB"/>
        </w:rPr>
      </w:pPr>
    </w:p>
    <w:p w14:paraId="67AEB8E7" w14:textId="77777777" w:rsidR="00651F9B" w:rsidRDefault="00651F9B" w:rsidP="00651F9B">
      <w:pPr>
        <w:pStyle w:val="Paragrafoelenco"/>
        <w:numPr>
          <w:ilvl w:val="0"/>
          <w:numId w:val="18"/>
        </w:numPr>
        <w:spacing w:line="240" w:lineRule="auto"/>
        <w:jc w:val="both"/>
        <w:rPr>
          <w:sz w:val="24"/>
          <w:szCs w:val="24"/>
          <w:lang w:val="en-GB"/>
        </w:rPr>
      </w:pPr>
      <w:r w:rsidRPr="003347C9">
        <w:rPr>
          <w:sz w:val="24"/>
          <w:szCs w:val="24"/>
          <w:lang w:val="en-GB"/>
        </w:rPr>
        <w:t xml:space="preserve">CJEU, case C-5/08, </w:t>
      </w:r>
      <w:proofErr w:type="spellStart"/>
      <w:r w:rsidRPr="003347C9">
        <w:rPr>
          <w:sz w:val="24"/>
          <w:szCs w:val="24"/>
          <w:lang w:val="en-GB"/>
        </w:rPr>
        <w:t>Infopaq</w:t>
      </w:r>
      <w:proofErr w:type="spellEnd"/>
      <w:r w:rsidRPr="003347C9">
        <w:rPr>
          <w:sz w:val="24"/>
          <w:szCs w:val="24"/>
          <w:lang w:val="en-GB"/>
        </w:rPr>
        <w:t xml:space="preserve"> International A/S v. Danske </w:t>
      </w:r>
      <w:proofErr w:type="spellStart"/>
      <w:r w:rsidRPr="003347C9">
        <w:rPr>
          <w:sz w:val="24"/>
          <w:szCs w:val="24"/>
          <w:lang w:val="en-GB"/>
        </w:rPr>
        <w:t>Dagblades</w:t>
      </w:r>
      <w:proofErr w:type="spellEnd"/>
      <w:r w:rsidRPr="003347C9">
        <w:rPr>
          <w:sz w:val="24"/>
          <w:szCs w:val="24"/>
          <w:lang w:val="en-GB"/>
        </w:rPr>
        <w:t xml:space="preserve"> </w:t>
      </w:r>
      <w:proofErr w:type="spellStart"/>
      <w:r w:rsidRPr="003347C9">
        <w:rPr>
          <w:sz w:val="24"/>
          <w:szCs w:val="24"/>
          <w:lang w:val="en-GB"/>
        </w:rPr>
        <w:t>Forening</w:t>
      </w:r>
      <w:proofErr w:type="spellEnd"/>
      <w:r w:rsidRPr="003347C9">
        <w:rPr>
          <w:sz w:val="24"/>
          <w:szCs w:val="24"/>
          <w:lang w:val="en-GB"/>
        </w:rPr>
        <w:t xml:space="preserve">, </w:t>
      </w:r>
      <w:r>
        <w:rPr>
          <w:sz w:val="24"/>
          <w:szCs w:val="24"/>
          <w:lang w:val="en-GB"/>
        </w:rPr>
        <w:t xml:space="preserve">16 </w:t>
      </w:r>
      <w:r w:rsidRPr="003347C9">
        <w:rPr>
          <w:sz w:val="24"/>
          <w:szCs w:val="24"/>
          <w:lang w:val="en-GB"/>
        </w:rPr>
        <w:t>July 2009</w:t>
      </w:r>
      <w:r>
        <w:rPr>
          <w:sz w:val="24"/>
          <w:szCs w:val="24"/>
          <w:lang w:val="en-GB"/>
        </w:rPr>
        <w:t>.</w:t>
      </w:r>
    </w:p>
    <w:p w14:paraId="34F874FF" w14:textId="77777777" w:rsidR="00651F9B" w:rsidRDefault="00651F9B" w:rsidP="00651F9B">
      <w:pPr>
        <w:pStyle w:val="Testonotaapidipagina"/>
        <w:numPr>
          <w:ilvl w:val="0"/>
          <w:numId w:val="18"/>
        </w:numPr>
        <w:jc w:val="both"/>
        <w:rPr>
          <w:sz w:val="24"/>
          <w:szCs w:val="24"/>
          <w:lang w:val="en-GB"/>
        </w:rPr>
      </w:pPr>
      <w:r w:rsidRPr="007132B8">
        <w:rPr>
          <w:sz w:val="24"/>
          <w:szCs w:val="24"/>
          <w:lang w:val="en-GB"/>
        </w:rPr>
        <w:t>CJEU</w:t>
      </w:r>
      <w:r>
        <w:rPr>
          <w:sz w:val="24"/>
          <w:szCs w:val="24"/>
          <w:lang w:val="en-GB"/>
        </w:rPr>
        <w:t xml:space="preserve">, </w:t>
      </w:r>
      <w:r w:rsidRPr="003347C9">
        <w:rPr>
          <w:sz w:val="24"/>
          <w:szCs w:val="24"/>
          <w:lang w:val="en-GB"/>
        </w:rPr>
        <w:t>case C</w:t>
      </w:r>
      <w:r w:rsidRPr="003347C9">
        <w:rPr>
          <w:rFonts w:ascii="Cambria Math" w:hAnsi="Cambria Math" w:cs="Cambria Math"/>
          <w:sz w:val="24"/>
          <w:szCs w:val="24"/>
          <w:lang w:val="en-GB"/>
        </w:rPr>
        <w:t>‑</w:t>
      </w:r>
      <w:r w:rsidRPr="003347C9">
        <w:rPr>
          <w:sz w:val="24"/>
          <w:szCs w:val="24"/>
          <w:lang w:val="en-GB"/>
        </w:rPr>
        <w:t>403/08 and C</w:t>
      </w:r>
      <w:r w:rsidRPr="003347C9">
        <w:rPr>
          <w:rFonts w:ascii="Cambria Math" w:hAnsi="Cambria Math" w:cs="Cambria Math"/>
          <w:sz w:val="24"/>
          <w:szCs w:val="24"/>
          <w:lang w:val="en-GB"/>
        </w:rPr>
        <w:t>‑</w:t>
      </w:r>
      <w:r w:rsidRPr="003347C9">
        <w:rPr>
          <w:sz w:val="24"/>
          <w:szCs w:val="24"/>
          <w:lang w:val="en-GB"/>
        </w:rPr>
        <w:t xml:space="preserve">429/08, Football Association Premier League e a, </w:t>
      </w:r>
      <w:r>
        <w:rPr>
          <w:sz w:val="24"/>
          <w:szCs w:val="24"/>
          <w:lang w:val="en-GB"/>
        </w:rPr>
        <w:t xml:space="preserve">4 </w:t>
      </w:r>
      <w:r w:rsidRPr="003347C9">
        <w:rPr>
          <w:sz w:val="24"/>
          <w:szCs w:val="24"/>
          <w:lang w:val="en-GB"/>
        </w:rPr>
        <w:t>October 2011</w:t>
      </w:r>
      <w:r>
        <w:rPr>
          <w:sz w:val="24"/>
          <w:szCs w:val="24"/>
          <w:lang w:val="en-GB"/>
        </w:rPr>
        <w:t>.</w:t>
      </w:r>
    </w:p>
    <w:p w14:paraId="3AAD36E0" w14:textId="77777777" w:rsidR="00651F9B" w:rsidRDefault="00651F9B" w:rsidP="00651F9B">
      <w:pPr>
        <w:pStyle w:val="Testonotaapidipagina"/>
        <w:ind w:left="360"/>
        <w:jc w:val="both"/>
        <w:rPr>
          <w:sz w:val="24"/>
          <w:szCs w:val="24"/>
          <w:lang w:val="en-GB"/>
        </w:rPr>
      </w:pPr>
    </w:p>
    <w:p w14:paraId="221EF9DB" w14:textId="77777777" w:rsidR="00651F9B" w:rsidRPr="007132B8" w:rsidRDefault="00651F9B" w:rsidP="00651F9B">
      <w:pPr>
        <w:pStyle w:val="Paragrafoelenco"/>
        <w:numPr>
          <w:ilvl w:val="0"/>
          <w:numId w:val="18"/>
        </w:numPr>
        <w:spacing w:line="240" w:lineRule="auto"/>
        <w:jc w:val="both"/>
        <w:rPr>
          <w:sz w:val="24"/>
          <w:szCs w:val="24"/>
          <w:lang w:val="en-GB"/>
        </w:rPr>
      </w:pPr>
      <w:r w:rsidRPr="007132B8">
        <w:rPr>
          <w:sz w:val="24"/>
          <w:szCs w:val="24"/>
          <w:lang w:val="en-GB"/>
        </w:rPr>
        <w:t xml:space="preserve">CJEU, case C-302/10, </w:t>
      </w:r>
      <w:proofErr w:type="spellStart"/>
      <w:r w:rsidRPr="007132B8">
        <w:rPr>
          <w:sz w:val="24"/>
          <w:szCs w:val="24"/>
          <w:lang w:val="en-GB"/>
        </w:rPr>
        <w:t>Infopaq</w:t>
      </w:r>
      <w:proofErr w:type="spellEnd"/>
      <w:r w:rsidRPr="007132B8">
        <w:rPr>
          <w:sz w:val="24"/>
          <w:szCs w:val="24"/>
          <w:lang w:val="en-GB"/>
        </w:rPr>
        <w:t xml:space="preserve"> International A/S v. Danske </w:t>
      </w:r>
      <w:proofErr w:type="spellStart"/>
      <w:r w:rsidRPr="007132B8">
        <w:rPr>
          <w:sz w:val="24"/>
          <w:szCs w:val="24"/>
          <w:lang w:val="en-GB"/>
        </w:rPr>
        <w:t>Dagblades</w:t>
      </w:r>
      <w:proofErr w:type="spellEnd"/>
      <w:r w:rsidRPr="007132B8">
        <w:rPr>
          <w:sz w:val="24"/>
          <w:szCs w:val="24"/>
          <w:lang w:val="en-GB"/>
        </w:rPr>
        <w:t xml:space="preserve"> </w:t>
      </w:r>
      <w:proofErr w:type="spellStart"/>
      <w:r w:rsidRPr="007132B8">
        <w:rPr>
          <w:sz w:val="24"/>
          <w:szCs w:val="24"/>
          <w:lang w:val="en-GB"/>
        </w:rPr>
        <w:t>Forening</w:t>
      </w:r>
      <w:proofErr w:type="spellEnd"/>
      <w:r w:rsidRPr="007132B8">
        <w:rPr>
          <w:sz w:val="24"/>
          <w:szCs w:val="24"/>
          <w:lang w:val="en-GB"/>
        </w:rPr>
        <w:t xml:space="preserve">, </w:t>
      </w:r>
      <w:r>
        <w:rPr>
          <w:sz w:val="24"/>
          <w:szCs w:val="24"/>
          <w:lang w:val="en-GB"/>
        </w:rPr>
        <w:t xml:space="preserve">17 </w:t>
      </w:r>
      <w:r w:rsidRPr="007132B8">
        <w:rPr>
          <w:sz w:val="24"/>
          <w:szCs w:val="24"/>
          <w:lang w:val="en-GB"/>
        </w:rPr>
        <w:t>January 2012</w:t>
      </w:r>
      <w:r>
        <w:rPr>
          <w:sz w:val="24"/>
          <w:szCs w:val="24"/>
          <w:lang w:val="en-GB"/>
        </w:rPr>
        <w:t>.</w:t>
      </w:r>
    </w:p>
    <w:p w14:paraId="19640F2B" w14:textId="77777777" w:rsidR="00651F9B" w:rsidRDefault="00651F9B" w:rsidP="00651F9B">
      <w:pPr>
        <w:pStyle w:val="Testonotaapidipagina"/>
        <w:numPr>
          <w:ilvl w:val="0"/>
          <w:numId w:val="18"/>
        </w:numPr>
        <w:jc w:val="both"/>
        <w:rPr>
          <w:sz w:val="24"/>
          <w:szCs w:val="24"/>
          <w:lang w:val="en-GB"/>
        </w:rPr>
      </w:pPr>
      <w:r>
        <w:rPr>
          <w:sz w:val="24"/>
          <w:szCs w:val="24"/>
          <w:lang w:val="en-GB"/>
        </w:rPr>
        <w:t xml:space="preserve">CJEU, </w:t>
      </w:r>
      <w:r w:rsidRPr="003347C9">
        <w:rPr>
          <w:sz w:val="24"/>
          <w:szCs w:val="24"/>
          <w:lang w:val="en-GB"/>
        </w:rPr>
        <w:t>case C</w:t>
      </w:r>
      <w:r w:rsidRPr="003347C9">
        <w:rPr>
          <w:rFonts w:ascii="Cambria Math" w:hAnsi="Cambria Math" w:cs="Cambria Math"/>
          <w:sz w:val="24"/>
          <w:szCs w:val="24"/>
          <w:lang w:val="en-GB"/>
        </w:rPr>
        <w:t>‑</w:t>
      </w:r>
      <w:r w:rsidRPr="003347C9">
        <w:rPr>
          <w:sz w:val="24"/>
          <w:szCs w:val="24"/>
          <w:lang w:val="en-GB"/>
        </w:rPr>
        <w:t xml:space="preserve">360/13, Public Relations Consultants Association v. Newspaper Licensing Agency, </w:t>
      </w:r>
      <w:r>
        <w:rPr>
          <w:sz w:val="24"/>
          <w:szCs w:val="24"/>
          <w:lang w:val="en-GB"/>
        </w:rPr>
        <w:t xml:space="preserve">5 </w:t>
      </w:r>
      <w:r w:rsidRPr="007132B8">
        <w:rPr>
          <w:sz w:val="24"/>
          <w:szCs w:val="24"/>
          <w:lang w:val="en-GB"/>
        </w:rPr>
        <w:t>June 2014</w:t>
      </w:r>
      <w:r>
        <w:rPr>
          <w:sz w:val="24"/>
          <w:szCs w:val="24"/>
          <w:lang w:val="en-GB"/>
        </w:rPr>
        <w:t>.</w:t>
      </w:r>
    </w:p>
    <w:p w14:paraId="2EA69879" w14:textId="77777777" w:rsidR="00651F9B" w:rsidRPr="003347C9" w:rsidRDefault="00651F9B" w:rsidP="00651F9B">
      <w:pPr>
        <w:pStyle w:val="Testonotaapidipagina"/>
        <w:rPr>
          <w:sz w:val="24"/>
          <w:szCs w:val="24"/>
          <w:lang w:val="en-GB"/>
        </w:rPr>
      </w:pPr>
    </w:p>
    <w:p w14:paraId="4834281B" w14:textId="77777777" w:rsidR="00651F9B" w:rsidRDefault="00651F9B" w:rsidP="00651F9B">
      <w:pPr>
        <w:pStyle w:val="Paragrafoelenco"/>
        <w:numPr>
          <w:ilvl w:val="0"/>
          <w:numId w:val="18"/>
        </w:numPr>
        <w:spacing w:line="240" w:lineRule="auto"/>
        <w:jc w:val="both"/>
        <w:rPr>
          <w:sz w:val="24"/>
          <w:szCs w:val="24"/>
          <w:lang w:val="en-GB"/>
        </w:rPr>
      </w:pPr>
      <w:r w:rsidRPr="003347C9">
        <w:rPr>
          <w:sz w:val="24"/>
          <w:szCs w:val="24"/>
          <w:lang w:val="en-GB"/>
        </w:rPr>
        <w:t>CJEU, case C</w:t>
      </w:r>
      <w:r w:rsidRPr="003347C9">
        <w:rPr>
          <w:rFonts w:ascii="Cambria Math" w:hAnsi="Cambria Math" w:cs="Cambria Math"/>
          <w:sz w:val="24"/>
          <w:szCs w:val="24"/>
          <w:lang w:val="en-GB"/>
        </w:rPr>
        <w:t>‑</w:t>
      </w:r>
      <w:r w:rsidRPr="003347C9">
        <w:rPr>
          <w:sz w:val="24"/>
          <w:szCs w:val="24"/>
          <w:lang w:val="en-GB"/>
        </w:rPr>
        <w:t xml:space="preserve">30/14, Ryanair Ltd v. PR Aviation BV, </w:t>
      </w:r>
      <w:r>
        <w:rPr>
          <w:sz w:val="24"/>
          <w:szCs w:val="24"/>
          <w:lang w:val="en-GB"/>
        </w:rPr>
        <w:t xml:space="preserve">15 </w:t>
      </w:r>
      <w:r w:rsidRPr="003347C9">
        <w:rPr>
          <w:sz w:val="24"/>
          <w:szCs w:val="24"/>
          <w:lang w:val="en-GB"/>
        </w:rPr>
        <w:t>January 2015</w:t>
      </w:r>
      <w:r>
        <w:rPr>
          <w:sz w:val="24"/>
          <w:szCs w:val="24"/>
          <w:lang w:val="en-GB"/>
        </w:rPr>
        <w:t>.</w:t>
      </w:r>
    </w:p>
    <w:p w14:paraId="13F37EF6" w14:textId="77777777" w:rsidR="00651F9B" w:rsidRPr="007132B8" w:rsidRDefault="00651F9B" w:rsidP="00651F9B">
      <w:pPr>
        <w:pStyle w:val="Testonotaapidipagina"/>
        <w:jc w:val="both"/>
        <w:rPr>
          <w:sz w:val="24"/>
          <w:szCs w:val="24"/>
          <w:lang w:val="en-GB"/>
        </w:rPr>
      </w:pPr>
    </w:p>
    <w:p w14:paraId="7F5A4D19" w14:textId="77777777" w:rsidR="00651F9B" w:rsidRPr="003347C9" w:rsidRDefault="00651F9B" w:rsidP="00651F9B">
      <w:pPr>
        <w:jc w:val="both"/>
        <w:rPr>
          <w:sz w:val="24"/>
          <w:szCs w:val="24"/>
          <w:lang w:val="en-GB"/>
        </w:rPr>
      </w:pPr>
      <w:r w:rsidRPr="003347C9">
        <w:rPr>
          <w:sz w:val="24"/>
          <w:szCs w:val="24"/>
          <w:u w:val="single"/>
          <w:lang w:val="en-GB"/>
        </w:rPr>
        <w:t>C. United States of America</w:t>
      </w:r>
      <w:r w:rsidRPr="003347C9">
        <w:rPr>
          <w:sz w:val="24"/>
          <w:szCs w:val="24"/>
          <w:lang w:val="en-GB"/>
        </w:rPr>
        <w:t xml:space="preserve"> </w:t>
      </w:r>
    </w:p>
    <w:p w14:paraId="464CBEF4" w14:textId="77777777" w:rsidR="00651F9B" w:rsidRPr="003347C9" w:rsidRDefault="00651F9B" w:rsidP="00651F9B">
      <w:pPr>
        <w:pStyle w:val="Testonotaapidipagina"/>
        <w:numPr>
          <w:ilvl w:val="0"/>
          <w:numId w:val="17"/>
        </w:numPr>
        <w:ind w:left="284" w:hanging="284"/>
        <w:jc w:val="both"/>
        <w:rPr>
          <w:sz w:val="24"/>
          <w:szCs w:val="24"/>
          <w:lang w:val="en-GB"/>
        </w:rPr>
      </w:pPr>
      <w:r w:rsidRPr="003347C9">
        <w:rPr>
          <w:sz w:val="24"/>
          <w:szCs w:val="24"/>
          <w:lang w:val="en-GB"/>
        </w:rPr>
        <w:lastRenderedPageBreak/>
        <w:t xml:space="preserve">Field v. Google Inc., 412 </w:t>
      </w:r>
      <w:proofErr w:type="spellStart"/>
      <w:r w:rsidRPr="003347C9">
        <w:rPr>
          <w:sz w:val="24"/>
          <w:szCs w:val="24"/>
          <w:lang w:val="en-GB"/>
        </w:rPr>
        <w:t>F.Supp</w:t>
      </w:r>
      <w:proofErr w:type="spellEnd"/>
      <w:r w:rsidRPr="003347C9">
        <w:rPr>
          <w:sz w:val="24"/>
          <w:szCs w:val="24"/>
          <w:lang w:val="en-GB"/>
        </w:rPr>
        <w:t xml:space="preserve">. 2d 1106 (D. Nev. 2006). </w:t>
      </w:r>
    </w:p>
    <w:p w14:paraId="09466EAF" w14:textId="77777777" w:rsidR="00651F9B" w:rsidRDefault="00651F9B" w:rsidP="00651F9B">
      <w:pPr>
        <w:jc w:val="both"/>
        <w:rPr>
          <w:lang w:val="en-GB"/>
        </w:rPr>
      </w:pPr>
    </w:p>
    <w:p w14:paraId="75D2F49D" w14:textId="77777777" w:rsidR="00651F9B" w:rsidRPr="00651F9B" w:rsidRDefault="00651F9B">
      <w:pPr>
        <w:rPr>
          <w:lang w:val="en-GB"/>
        </w:rPr>
      </w:pPr>
    </w:p>
    <w:sectPr w:rsidR="00651F9B" w:rsidRPr="00651F9B">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8ADE" w14:textId="77777777" w:rsidR="005D7CB2" w:rsidRDefault="005D7CB2" w:rsidP="00651F9B">
      <w:pPr>
        <w:spacing w:after="0" w:line="240" w:lineRule="auto"/>
      </w:pPr>
      <w:r>
        <w:separator/>
      </w:r>
    </w:p>
  </w:endnote>
  <w:endnote w:type="continuationSeparator" w:id="0">
    <w:p w14:paraId="19B43E15" w14:textId="77777777" w:rsidR="005D7CB2" w:rsidRDefault="005D7CB2" w:rsidP="0065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971317"/>
      <w:docPartObj>
        <w:docPartGallery w:val="Page Numbers (Bottom of Page)"/>
        <w:docPartUnique/>
      </w:docPartObj>
    </w:sdtPr>
    <w:sdtEndPr/>
    <w:sdtContent>
      <w:p w14:paraId="73C26605" w14:textId="77777777" w:rsidR="00F819B0" w:rsidRDefault="00F819B0">
        <w:pPr>
          <w:pStyle w:val="Pidipagina"/>
          <w:jc w:val="right"/>
        </w:pPr>
        <w:r>
          <w:fldChar w:fldCharType="begin"/>
        </w:r>
        <w:r>
          <w:instrText>PAGE   \* MERGEFORMAT</w:instrText>
        </w:r>
        <w:r>
          <w:fldChar w:fldCharType="separate"/>
        </w:r>
        <w:r>
          <w:rPr>
            <w:noProof/>
          </w:rPr>
          <w:t>20</w:t>
        </w:r>
        <w:r>
          <w:fldChar w:fldCharType="end"/>
        </w:r>
      </w:p>
    </w:sdtContent>
  </w:sdt>
  <w:p w14:paraId="03D0D0A5" w14:textId="77777777" w:rsidR="00F819B0" w:rsidRDefault="00F819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1410" w14:textId="77777777" w:rsidR="005D7CB2" w:rsidRDefault="005D7CB2" w:rsidP="00651F9B">
      <w:pPr>
        <w:spacing w:after="0" w:line="240" w:lineRule="auto"/>
      </w:pPr>
      <w:r>
        <w:separator/>
      </w:r>
    </w:p>
  </w:footnote>
  <w:footnote w:type="continuationSeparator" w:id="0">
    <w:p w14:paraId="1DA3F538" w14:textId="77777777" w:rsidR="005D7CB2" w:rsidRDefault="005D7CB2" w:rsidP="00651F9B">
      <w:pPr>
        <w:spacing w:after="0" w:line="240" w:lineRule="auto"/>
      </w:pPr>
      <w:r>
        <w:continuationSeparator/>
      </w:r>
    </w:p>
  </w:footnote>
  <w:footnote w:id="1">
    <w:p w14:paraId="33269FA5" w14:textId="77777777" w:rsidR="00F819B0" w:rsidRPr="00B634E3" w:rsidRDefault="00F819B0" w:rsidP="00651F9B">
      <w:pPr>
        <w:pStyle w:val="Testonotaapidipagina"/>
        <w:jc w:val="both"/>
        <w:rPr>
          <w:lang w:val="en-GB"/>
        </w:rPr>
      </w:pPr>
      <w:r>
        <w:rPr>
          <w:rStyle w:val="Rimandonotaapidipagina"/>
        </w:rPr>
        <w:footnoteRef/>
      </w:r>
      <w:r w:rsidRPr="00B634E3">
        <w:rPr>
          <w:lang w:val="en-GB"/>
        </w:rPr>
        <w:t xml:space="preserve"> </w:t>
      </w:r>
      <w:r>
        <w:rPr>
          <w:lang w:val="en-GB"/>
        </w:rPr>
        <w:t xml:space="preserve">See, for example, the article in </w:t>
      </w:r>
      <w:r w:rsidRPr="00850777">
        <w:rPr>
          <w:smallCaps/>
          <w:lang w:val="en-GB"/>
        </w:rPr>
        <w:t>The Economist</w:t>
      </w:r>
      <w:r w:rsidRPr="00B634E3">
        <w:rPr>
          <w:lang w:val="en-GB"/>
        </w:rPr>
        <w:t xml:space="preserve">, </w:t>
      </w:r>
      <w:r w:rsidRPr="00B634E3">
        <w:rPr>
          <w:i/>
          <w:iCs/>
          <w:lang w:val="en-GB"/>
        </w:rPr>
        <w:t>The world’s most valuable resource is no longer oil, but data</w:t>
      </w:r>
      <w:r w:rsidRPr="00B634E3">
        <w:rPr>
          <w:lang w:val="en-GB"/>
        </w:rPr>
        <w:t xml:space="preserve">, </w:t>
      </w:r>
      <w:r>
        <w:rPr>
          <w:lang w:val="en-GB"/>
        </w:rPr>
        <w:t xml:space="preserve">6 </w:t>
      </w:r>
      <w:r w:rsidRPr="00B634E3">
        <w:rPr>
          <w:lang w:val="en-GB"/>
        </w:rPr>
        <w:t>May</w:t>
      </w:r>
      <w:r>
        <w:rPr>
          <w:lang w:val="en-GB"/>
        </w:rPr>
        <w:t xml:space="preserve"> </w:t>
      </w:r>
      <w:r w:rsidRPr="00B634E3">
        <w:rPr>
          <w:lang w:val="en-GB"/>
        </w:rPr>
        <w:t>2017</w:t>
      </w:r>
      <w:r>
        <w:rPr>
          <w:lang w:val="en-GB"/>
        </w:rPr>
        <w:t xml:space="preserve">, </w:t>
      </w:r>
      <w:hyperlink r:id="rId1" w:history="1">
        <w:r w:rsidRPr="00564A55">
          <w:rPr>
            <w:rStyle w:val="Collegamentoipertestuale"/>
            <w:lang w:val="en-GB"/>
          </w:rPr>
          <w:t>https://www.economist.com/leaders/2017/05/06/the-worlds-most-valuable-resource-is-no-longer-oil-but-data</w:t>
        </w:r>
      </w:hyperlink>
      <w:r>
        <w:rPr>
          <w:lang w:val="en-GB"/>
        </w:rPr>
        <w:t xml:space="preserve">, last accessed on 25 July 2020; or K. </w:t>
      </w:r>
      <w:r w:rsidRPr="00171737">
        <w:rPr>
          <w:lang w:val="en-GB"/>
        </w:rPr>
        <w:t>BHAGESHPUR</w:t>
      </w:r>
      <w:r>
        <w:rPr>
          <w:lang w:val="en-GB"/>
        </w:rPr>
        <w:t xml:space="preserve">, </w:t>
      </w:r>
      <w:r w:rsidRPr="00B634E3">
        <w:rPr>
          <w:i/>
          <w:iCs/>
          <w:lang w:val="en-GB"/>
        </w:rPr>
        <w:t>Data Is The New Oil -</w:t>
      </w:r>
      <w:r>
        <w:rPr>
          <w:i/>
          <w:iCs/>
          <w:lang w:val="en-GB"/>
        </w:rPr>
        <w:t>-</w:t>
      </w:r>
      <w:r w:rsidRPr="00B634E3">
        <w:rPr>
          <w:i/>
          <w:iCs/>
          <w:lang w:val="en-GB"/>
        </w:rPr>
        <w:t xml:space="preserve"> And That's A Good Thing</w:t>
      </w:r>
      <w:r>
        <w:rPr>
          <w:i/>
          <w:iCs/>
          <w:lang w:val="en-GB"/>
        </w:rPr>
        <w:t xml:space="preserve">, </w:t>
      </w:r>
      <w:r>
        <w:rPr>
          <w:lang w:val="en-GB"/>
        </w:rPr>
        <w:t xml:space="preserve">15 November 2019, </w:t>
      </w:r>
      <w:hyperlink r:id="rId2" w:history="1">
        <w:r w:rsidRPr="003250AB">
          <w:rPr>
            <w:rStyle w:val="Collegamentoipertestuale"/>
            <w:lang w:val="en-GB"/>
          </w:rPr>
          <w:t>https://www.forbes.com/sites/forbestechcouncil/2019/11/15/data-is-the-new-oil-and-thats-a-good-thing/</w:t>
        </w:r>
      </w:hyperlink>
      <w:r>
        <w:rPr>
          <w:lang w:val="en-GB"/>
        </w:rPr>
        <w:t xml:space="preserve">, </w:t>
      </w:r>
      <w:r w:rsidRPr="00193A26">
        <w:rPr>
          <w:lang w:val="en-GB"/>
        </w:rPr>
        <w:t xml:space="preserve">last accessed on </w:t>
      </w:r>
      <w:r>
        <w:rPr>
          <w:lang w:val="en-GB"/>
        </w:rPr>
        <w:t xml:space="preserve">25 </w:t>
      </w:r>
      <w:r w:rsidRPr="00193A26">
        <w:rPr>
          <w:lang w:val="en-GB"/>
        </w:rPr>
        <w:t>July 2020</w:t>
      </w:r>
      <w:r w:rsidRPr="00B634E3">
        <w:rPr>
          <w:lang w:val="en-GB"/>
        </w:rPr>
        <w:t>.</w:t>
      </w:r>
    </w:p>
  </w:footnote>
  <w:footnote w:id="2">
    <w:p w14:paraId="6BC748C4" w14:textId="77777777" w:rsidR="00F819B0" w:rsidRPr="007523B3" w:rsidRDefault="00F819B0" w:rsidP="00651F9B">
      <w:pPr>
        <w:pStyle w:val="Testonotaapidipagina"/>
        <w:rPr>
          <w:lang w:val="en-GB"/>
        </w:rPr>
      </w:pPr>
      <w:r>
        <w:rPr>
          <w:rStyle w:val="Rimandonotaapidipagina"/>
        </w:rPr>
        <w:footnoteRef/>
      </w:r>
      <w:r w:rsidRPr="007523B3">
        <w:rPr>
          <w:lang w:val="en-GB"/>
        </w:rPr>
        <w:t xml:space="preserve"> </w:t>
      </w:r>
      <w:bookmarkStart w:id="0" w:name="_Hlk39844384"/>
      <w:r w:rsidRPr="00B27A8E">
        <w:rPr>
          <w:smallCaps/>
          <w:lang w:val="en-GB"/>
        </w:rPr>
        <w:t>European Commission</w:t>
      </w:r>
      <w:r w:rsidRPr="00A414D8">
        <w:rPr>
          <w:lang w:val="en-GB"/>
        </w:rPr>
        <w:t xml:space="preserve">, </w:t>
      </w:r>
      <w:r w:rsidRPr="006C16F6">
        <w:rPr>
          <w:i/>
          <w:iCs/>
          <w:lang w:val="en-GB"/>
        </w:rPr>
        <w:t>A European strategy for data</w:t>
      </w:r>
      <w:r w:rsidRPr="00A414D8">
        <w:rPr>
          <w:lang w:val="en-GB"/>
        </w:rPr>
        <w:t>, Brussels, 19.2.2020</w:t>
      </w:r>
      <w:r>
        <w:rPr>
          <w:lang w:val="en-GB"/>
        </w:rPr>
        <w:t>,</w:t>
      </w:r>
      <w:r w:rsidRPr="00A414D8">
        <w:rPr>
          <w:lang w:val="en-GB"/>
        </w:rPr>
        <w:t xml:space="preserve"> </w:t>
      </w:r>
      <w:proofErr w:type="gramStart"/>
      <w:r w:rsidRPr="00A414D8">
        <w:rPr>
          <w:lang w:val="en-GB"/>
        </w:rPr>
        <w:t>COM(</w:t>
      </w:r>
      <w:proofErr w:type="gramEnd"/>
      <w:r w:rsidRPr="00A414D8">
        <w:rPr>
          <w:lang w:val="en-GB"/>
        </w:rPr>
        <w:t>2020) 66 final</w:t>
      </w:r>
      <w:r>
        <w:rPr>
          <w:lang w:val="en-GB"/>
        </w:rPr>
        <w:t xml:space="preserve">, </w:t>
      </w:r>
      <w:bookmarkEnd w:id="0"/>
      <w:r>
        <w:rPr>
          <w:lang w:val="en-GB"/>
        </w:rPr>
        <w:t xml:space="preserve">p. 2. </w:t>
      </w:r>
    </w:p>
  </w:footnote>
  <w:footnote w:id="3">
    <w:p w14:paraId="573F8083" w14:textId="77777777" w:rsidR="00F819B0" w:rsidRPr="000E28F4" w:rsidRDefault="00F819B0" w:rsidP="00651F9B">
      <w:pPr>
        <w:pStyle w:val="Testonotaapidipagina"/>
        <w:jc w:val="both"/>
        <w:rPr>
          <w:lang w:val="en-GB"/>
        </w:rPr>
      </w:pPr>
      <w:r w:rsidRPr="00567CF7">
        <w:rPr>
          <w:rStyle w:val="Rimandonotaapidipagina"/>
          <w:smallCaps/>
        </w:rPr>
        <w:footnoteRef/>
      </w:r>
      <w:r w:rsidRPr="00567CF7">
        <w:rPr>
          <w:smallCaps/>
          <w:lang w:val="en-GB"/>
        </w:rPr>
        <w:t xml:space="preserve"> </w:t>
      </w:r>
      <w:bookmarkStart w:id="1" w:name="_Hlk36573916"/>
      <w:r w:rsidRPr="00567CF7">
        <w:rPr>
          <w:smallCaps/>
          <w:lang w:val="en-GB"/>
        </w:rPr>
        <w:t xml:space="preserve">D. </w:t>
      </w:r>
      <w:proofErr w:type="spellStart"/>
      <w:r w:rsidRPr="00567CF7">
        <w:rPr>
          <w:smallCaps/>
          <w:lang w:val="en-GB"/>
        </w:rPr>
        <w:t>Reinsel</w:t>
      </w:r>
      <w:proofErr w:type="spellEnd"/>
      <w:r w:rsidRPr="00567CF7">
        <w:rPr>
          <w:smallCaps/>
          <w:lang w:val="en-GB"/>
        </w:rPr>
        <w:t xml:space="preserve">, J. </w:t>
      </w:r>
      <w:proofErr w:type="spellStart"/>
      <w:r w:rsidRPr="00567CF7">
        <w:rPr>
          <w:smallCaps/>
          <w:lang w:val="en-GB"/>
        </w:rPr>
        <w:t>Gantz</w:t>
      </w:r>
      <w:proofErr w:type="spellEnd"/>
      <w:r w:rsidRPr="00567CF7">
        <w:rPr>
          <w:smallCaps/>
          <w:lang w:val="en-GB"/>
        </w:rPr>
        <w:t xml:space="preserve">, J. </w:t>
      </w:r>
      <w:proofErr w:type="spellStart"/>
      <w:r w:rsidRPr="00567CF7">
        <w:rPr>
          <w:smallCaps/>
          <w:lang w:val="en-GB"/>
        </w:rPr>
        <w:t>Rydning</w:t>
      </w:r>
      <w:proofErr w:type="spellEnd"/>
      <w:r>
        <w:rPr>
          <w:lang w:val="en-GB"/>
        </w:rPr>
        <w:t xml:space="preserve">, </w:t>
      </w:r>
      <w:r w:rsidRPr="000E28F4">
        <w:rPr>
          <w:i/>
          <w:iCs/>
          <w:lang w:val="en-GB"/>
        </w:rPr>
        <w:t>The Digitization of the World - From Edge to Core</w:t>
      </w:r>
      <w:r>
        <w:rPr>
          <w:i/>
          <w:iCs/>
          <w:lang w:val="en-GB"/>
        </w:rPr>
        <w:t xml:space="preserve">, </w:t>
      </w:r>
      <w:r>
        <w:rPr>
          <w:lang w:val="en-GB"/>
        </w:rPr>
        <w:t>International Data Group (IDC) White Paper,</w:t>
      </w:r>
      <w:r>
        <w:rPr>
          <w:i/>
          <w:iCs/>
          <w:lang w:val="en-GB"/>
        </w:rPr>
        <w:t xml:space="preserve"> </w:t>
      </w:r>
      <w:r w:rsidRPr="000E28F4">
        <w:rPr>
          <w:lang w:val="en-GB"/>
        </w:rPr>
        <w:t>November 2018</w:t>
      </w:r>
      <w:r>
        <w:rPr>
          <w:lang w:val="en-GB"/>
        </w:rPr>
        <w:t>, p. 5.</w:t>
      </w:r>
      <w:bookmarkEnd w:id="1"/>
    </w:p>
  </w:footnote>
  <w:footnote w:id="4">
    <w:p w14:paraId="3A31FE6D" w14:textId="77777777" w:rsidR="00F819B0" w:rsidRPr="007F01F4" w:rsidRDefault="00F819B0" w:rsidP="00651F9B">
      <w:pPr>
        <w:pStyle w:val="Testonotaapidipagina"/>
        <w:rPr>
          <w:lang w:val="en-GB"/>
        </w:rPr>
      </w:pPr>
      <w:r>
        <w:rPr>
          <w:rStyle w:val="Rimandonotaapidipagina"/>
        </w:rPr>
        <w:footnoteRef/>
      </w:r>
      <w:r w:rsidRPr="007F01F4">
        <w:rPr>
          <w:lang w:val="en-GB"/>
        </w:rPr>
        <w:t xml:space="preserve"> </w:t>
      </w:r>
      <w:r>
        <w:rPr>
          <w:lang w:val="en-GB"/>
        </w:rPr>
        <w:t xml:space="preserve">As stated in Recital 1 of Regulation (UE) 2016/679. </w:t>
      </w:r>
    </w:p>
  </w:footnote>
  <w:footnote w:id="5">
    <w:p w14:paraId="2AFA7776" w14:textId="77777777" w:rsidR="00F819B0" w:rsidRPr="00B319C3" w:rsidRDefault="00F819B0" w:rsidP="00651F9B">
      <w:pPr>
        <w:pStyle w:val="Testonotaapidipagina"/>
        <w:jc w:val="both"/>
        <w:rPr>
          <w:lang w:val="en-GB"/>
        </w:rPr>
      </w:pPr>
      <w:r>
        <w:rPr>
          <w:rStyle w:val="Rimandonotaapidipagina"/>
        </w:rPr>
        <w:footnoteRef/>
      </w:r>
      <w:r w:rsidRPr="00B319C3">
        <w:rPr>
          <w:lang w:val="en-GB"/>
        </w:rPr>
        <w:t xml:space="preserve"> </w:t>
      </w:r>
      <w:r>
        <w:rPr>
          <w:lang w:val="en-GB"/>
        </w:rPr>
        <w:t>See Recital 13: “</w:t>
      </w:r>
      <w:r w:rsidRPr="00B319C3">
        <w:rPr>
          <w:lang w:val="en-GB"/>
        </w:rPr>
        <w:t xml:space="preserve">The proper functioning of the internal market requires that the free movement of personal data within the Union is not restricted or prohibited for reasons connected with the protection of natural persons </w:t>
      </w:r>
      <w:proofErr w:type="gramStart"/>
      <w:r w:rsidRPr="00B319C3">
        <w:rPr>
          <w:lang w:val="en-GB"/>
        </w:rPr>
        <w:t>with regard to</w:t>
      </w:r>
      <w:proofErr w:type="gramEnd"/>
      <w:r w:rsidRPr="00B319C3">
        <w:rPr>
          <w:lang w:val="en-GB"/>
        </w:rPr>
        <w:t xml:space="preserve"> the processing of personal data</w:t>
      </w:r>
      <w:r>
        <w:rPr>
          <w:lang w:val="en-GB"/>
        </w:rPr>
        <w:t>”, or Art. 1.3: “</w:t>
      </w:r>
      <w:r w:rsidRPr="00B319C3">
        <w:rPr>
          <w:lang w:val="en-GB"/>
        </w:rPr>
        <w:t>The free movement of personal data within the Union shall be neither restricted nor prohibited for reasons connected with the protection of natural persons with regard to the processing of personal data</w:t>
      </w:r>
      <w:r>
        <w:rPr>
          <w:lang w:val="en-GB"/>
        </w:rPr>
        <w:t>”</w:t>
      </w:r>
      <w:r w:rsidRPr="00B319C3">
        <w:rPr>
          <w:lang w:val="en-GB"/>
        </w:rPr>
        <w:t>.</w:t>
      </w:r>
    </w:p>
  </w:footnote>
  <w:footnote w:id="6">
    <w:p w14:paraId="65C5B7DE" w14:textId="77777777" w:rsidR="00F819B0" w:rsidRPr="007C0756" w:rsidRDefault="00F819B0" w:rsidP="00651F9B">
      <w:pPr>
        <w:pStyle w:val="Testonotaapidipagina"/>
        <w:jc w:val="both"/>
        <w:rPr>
          <w:i/>
          <w:iCs/>
          <w:lang w:val="en-GB"/>
        </w:rPr>
      </w:pPr>
      <w:r>
        <w:rPr>
          <w:rStyle w:val="Rimandonotaapidipagina"/>
        </w:rPr>
        <w:footnoteRef/>
      </w:r>
      <w:r w:rsidRPr="00E8711B">
        <w:rPr>
          <w:lang w:val="en-GB"/>
        </w:rPr>
        <w:t xml:space="preserve"> </w:t>
      </w:r>
      <w:r>
        <w:rPr>
          <w:lang w:val="en-GB"/>
        </w:rPr>
        <w:t xml:space="preserve">See </w:t>
      </w:r>
      <w:r w:rsidRPr="00334DD6">
        <w:rPr>
          <w:smallCaps/>
          <w:lang w:val="en-GB"/>
        </w:rPr>
        <w:t>European Parliament press release</w:t>
      </w:r>
      <w:r>
        <w:rPr>
          <w:lang w:val="en-GB"/>
        </w:rPr>
        <w:t xml:space="preserve">, </w:t>
      </w:r>
      <w:r w:rsidRPr="007C0756">
        <w:rPr>
          <w:i/>
          <w:iCs/>
          <w:lang w:val="en-GB"/>
        </w:rPr>
        <w:t>Free flow of non-personal data: Parliament approves EU’s fifth freedom</w:t>
      </w:r>
      <w:r>
        <w:rPr>
          <w:i/>
          <w:iCs/>
          <w:lang w:val="en-GB"/>
        </w:rPr>
        <w:t xml:space="preserve">, </w:t>
      </w:r>
      <w:r>
        <w:rPr>
          <w:lang w:val="en-GB"/>
        </w:rPr>
        <w:t>4 October</w:t>
      </w:r>
      <w:r>
        <w:rPr>
          <w:vertAlign w:val="superscript"/>
          <w:lang w:val="en-GB"/>
        </w:rPr>
        <w:t xml:space="preserve"> </w:t>
      </w:r>
      <w:r>
        <w:rPr>
          <w:lang w:val="en-GB"/>
        </w:rPr>
        <w:t>2018</w:t>
      </w:r>
      <w:r w:rsidRPr="00A6258D">
        <w:rPr>
          <w:lang w:val="en-GB"/>
        </w:rPr>
        <w:t xml:space="preserve">, </w:t>
      </w:r>
      <w:hyperlink r:id="rId3" w:history="1">
        <w:r w:rsidRPr="003250AB">
          <w:rPr>
            <w:rStyle w:val="Collegamentoipertestuale"/>
            <w:lang w:val="en-GB"/>
          </w:rPr>
          <w:t>https://www.europarl.europa.eu/news/it/press-room/20180926IPR14403/free-flow-of-non-personal-data-parliament-approves-eu-s-fifth-freedom</w:t>
        </w:r>
      </w:hyperlink>
      <w:r>
        <w:rPr>
          <w:lang w:val="en-GB"/>
        </w:rPr>
        <w:t xml:space="preserve">, </w:t>
      </w:r>
      <w:bookmarkStart w:id="2" w:name="_Hlk46589684"/>
      <w:r w:rsidRPr="00567CF7">
        <w:rPr>
          <w:lang w:val="en-GB"/>
        </w:rPr>
        <w:t xml:space="preserve">last accessed on </w:t>
      </w:r>
      <w:r>
        <w:rPr>
          <w:lang w:val="en-GB"/>
        </w:rPr>
        <w:t xml:space="preserve">25 </w:t>
      </w:r>
      <w:r w:rsidRPr="00567CF7">
        <w:rPr>
          <w:lang w:val="en-GB"/>
        </w:rPr>
        <w:t>July</w:t>
      </w:r>
      <w:r>
        <w:rPr>
          <w:lang w:val="en-GB"/>
        </w:rPr>
        <w:t xml:space="preserve"> </w:t>
      </w:r>
      <w:r w:rsidRPr="00567CF7">
        <w:rPr>
          <w:lang w:val="en-GB"/>
        </w:rPr>
        <w:t>2020</w:t>
      </w:r>
      <w:r>
        <w:rPr>
          <w:lang w:val="en-GB"/>
        </w:rPr>
        <w:t xml:space="preserve">. </w:t>
      </w:r>
      <w:r w:rsidRPr="007C0756">
        <w:rPr>
          <w:i/>
          <w:iCs/>
          <w:lang w:val="en-GB"/>
        </w:rPr>
        <w:t xml:space="preserve"> </w:t>
      </w:r>
      <w:bookmarkEnd w:id="2"/>
    </w:p>
  </w:footnote>
  <w:footnote w:id="7">
    <w:p w14:paraId="6D2B9CDB" w14:textId="77777777" w:rsidR="00F819B0" w:rsidRPr="00A046AC" w:rsidRDefault="00F819B0" w:rsidP="00651F9B">
      <w:pPr>
        <w:pStyle w:val="Testonotaapidipagina"/>
        <w:jc w:val="both"/>
        <w:rPr>
          <w:lang w:val="en-GB"/>
        </w:rPr>
      </w:pPr>
      <w:r>
        <w:rPr>
          <w:rStyle w:val="Rimandonotaapidipagina"/>
        </w:rPr>
        <w:footnoteRef/>
      </w:r>
      <w:r w:rsidRPr="00A046AC">
        <w:rPr>
          <w:lang w:val="en-GB"/>
        </w:rPr>
        <w:t xml:space="preserve"> </w:t>
      </w:r>
      <w:bookmarkStart w:id="3" w:name="_Hlk39828220"/>
      <w:r>
        <w:rPr>
          <w:lang w:val="en-GB"/>
        </w:rPr>
        <w:t xml:space="preserve">B. </w:t>
      </w:r>
      <w:proofErr w:type="spellStart"/>
      <w:r>
        <w:rPr>
          <w:lang w:val="en-GB"/>
        </w:rPr>
        <w:t>R</w:t>
      </w:r>
      <w:r w:rsidRPr="00B55020">
        <w:rPr>
          <w:smallCaps/>
          <w:lang w:val="en-GB"/>
        </w:rPr>
        <w:t>aue</w:t>
      </w:r>
      <w:proofErr w:type="spellEnd"/>
      <w:r>
        <w:rPr>
          <w:lang w:val="en-GB"/>
        </w:rPr>
        <w:t xml:space="preserve">, </w:t>
      </w:r>
      <w:r w:rsidRPr="00A046AC">
        <w:rPr>
          <w:i/>
          <w:iCs/>
          <w:lang w:val="en-GB"/>
        </w:rPr>
        <w:t xml:space="preserve">Free Flow of Data? The Friction </w:t>
      </w:r>
      <w:r>
        <w:rPr>
          <w:i/>
          <w:iCs/>
          <w:lang w:val="en-GB"/>
        </w:rPr>
        <w:t>b</w:t>
      </w:r>
      <w:r w:rsidRPr="00A046AC">
        <w:rPr>
          <w:i/>
          <w:iCs/>
          <w:lang w:val="en-GB"/>
        </w:rPr>
        <w:t>etween the Commission’s European Data Economy Initiative and the proposed Directive on Copyright in the Digital</w:t>
      </w:r>
      <w:r>
        <w:rPr>
          <w:i/>
          <w:iCs/>
          <w:lang w:val="en-GB"/>
        </w:rPr>
        <w:t xml:space="preserve"> Single Market, </w:t>
      </w:r>
      <w:r>
        <w:rPr>
          <w:lang w:val="en-GB"/>
        </w:rPr>
        <w:t xml:space="preserve">in </w:t>
      </w:r>
      <w:r w:rsidRPr="00A046AC">
        <w:rPr>
          <w:i/>
          <w:iCs/>
          <w:lang w:val="en-GB"/>
        </w:rPr>
        <w:t>IIC</w:t>
      </w:r>
      <w:r>
        <w:rPr>
          <w:lang w:val="en-GB"/>
        </w:rPr>
        <w:t xml:space="preserve"> 2018, p. 380: “</w:t>
      </w:r>
      <w:r w:rsidRPr="00D94D80">
        <w:rPr>
          <w:lang w:val="en-GB"/>
        </w:rPr>
        <w:t>… without the help of automated search algorithms this data mountain shrinks to a state of electricity on a hard drive”</w:t>
      </w:r>
      <w:r>
        <w:rPr>
          <w:lang w:val="en-GB"/>
        </w:rPr>
        <w:t>.</w:t>
      </w:r>
      <w:bookmarkEnd w:id="3"/>
    </w:p>
  </w:footnote>
  <w:footnote w:id="8">
    <w:p w14:paraId="3D2D7C43" w14:textId="77777777" w:rsidR="00F819B0" w:rsidRPr="008D625E" w:rsidRDefault="00F819B0" w:rsidP="00651F9B">
      <w:pPr>
        <w:pStyle w:val="Testonotaapidipagina"/>
        <w:jc w:val="both"/>
        <w:rPr>
          <w:lang w:val="en-GB"/>
        </w:rPr>
      </w:pPr>
      <w:r>
        <w:rPr>
          <w:rStyle w:val="Rimandonotaapidipagina"/>
        </w:rPr>
        <w:footnoteRef/>
      </w:r>
      <w:r w:rsidRPr="002F05BB">
        <w:rPr>
          <w:lang w:val="en-GB"/>
        </w:rPr>
        <w:t xml:space="preserve"> </w:t>
      </w:r>
      <w:r>
        <w:rPr>
          <w:lang w:val="en-GB"/>
        </w:rPr>
        <w:t xml:space="preserve">The following definition of artificial intelligence, given by the High-Level Expert Group of Artificial Intelligence set up by the European Commission, explains the correlation between AI and data: </w:t>
      </w:r>
      <w:r w:rsidRPr="002F05BB">
        <w:rPr>
          <w:lang w:val="en-GB"/>
        </w:rPr>
        <w:t>“Artificial intelligence (AI) systems are software (and possibly also hardware) systems designed by humans</w:t>
      </w:r>
      <w:r>
        <w:rPr>
          <w:lang w:val="en-GB"/>
        </w:rPr>
        <w:t xml:space="preserve"> </w:t>
      </w:r>
      <w:r w:rsidRPr="002F05BB">
        <w:rPr>
          <w:lang w:val="en-GB"/>
        </w:rPr>
        <w:t>that, given a complex goal, act in the physical or digital dimension by perceiving their environment through data acquisition, interpreting the collected structured or unstructured data, reasoning on the knowledge, or processing the information, derived from this data and deciding the best action(s) to take to achieve the given goal. AI systems can either use symbolic rules or learn a numeric model, and they can also adapt their behaviour by analysing how the environment is affected by their previous actions”</w:t>
      </w:r>
      <w:r>
        <w:rPr>
          <w:lang w:val="en-GB"/>
        </w:rPr>
        <w:t xml:space="preserve">. (AI-HTEG, </w:t>
      </w:r>
      <w:r w:rsidRPr="008D625E">
        <w:rPr>
          <w:i/>
          <w:iCs/>
          <w:lang w:val="en-GB"/>
        </w:rPr>
        <w:t>A definition of AI: Main capabilities and scientific disciplines</w:t>
      </w:r>
      <w:r>
        <w:rPr>
          <w:i/>
          <w:iCs/>
          <w:lang w:val="en-GB"/>
        </w:rPr>
        <w:t xml:space="preserve">, </w:t>
      </w:r>
      <w:r w:rsidRPr="00722964">
        <w:rPr>
          <w:lang w:val="en-GB"/>
        </w:rPr>
        <w:t>B-1049 Brussels</w:t>
      </w:r>
      <w:r>
        <w:rPr>
          <w:lang w:val="en-GB"/>
        </w:rPr>
        <w:t>, 8 April 2019).</w:t>
      </w:r>
    </w:p>
  </w:footnote>
  <w:footnote w:id="9">
    <w:p w14:paraId="1504F62D" w14:textId="77777777" w:rsidR="00F819B0" w:rsidRPr="004E32B3" w:rsidRDefault="00F819B0" w:rsidP="00651F9B">
      <w:pPr>
        <w:pStyle w:val="Testonotaapidipagina"/>
        <w:jc w:val="both"/>
        <w:rPr>
          <w:lang w:val="en-GB"/>
        </w:rPr>
      </w:pPr>
      <w:r>
        <w:rPr>
          <w:rStyle w:val="Rimandonotaapidipagina"/>
        </w:rPr>
        <w:footnoteRef/>
      </w:r>
      <w:r>
        <w:rPr>
          <w:lang w:val="en-GB"/>
        </w:rPr>
        <w:t xml:space="preserve"> </w:t>
      </w:r>
      <w:r w:rsidRPr="00B27A8E">
        <w:rPr>
          <w:smallCaps/>
          <w:lang w:val="en-GB"/>
        </w:rPr>
        <w:t>European Commission,</w:t>
      </w:r>
      <w:r w:rsidRPr="004E32B3">
        <w:rPr>
          <w:lang w:val="en-GB"/>
        </w:rPr>
        <w:t xml:space="preserve"> </w:t>
      </w:r>
      <w:r w:rsidRPr="004E32B3">
        <w:rPr>
          <w:i/>
          <w:iCs/>
          <w:lang w:val="en-GB"/>
        </w:rPr>
        <w:t>White paper on Artificial Intelligence - A European approach to excellence and trust</w:t>
      </w:r>
      <w:r w:rsidRPr="004E32B3">
        <w:rPr>
          <w:lang w:val="en-GB"/>
        </w:rPr>
        <w:t xml:space="preserve">, Brussels, 19.2.2020, </w:t>
      </w:r>
      <w:proofErr w:type="gramStart"/>
      <w:r w:rsidRPr="004E32B3">
        <w:rPr>
          <w:lang w:val="en-GB"/>
        </w:rPr>
        <w:t>COM(</w:t>
      </w:r>
      <w:proofErr w:type="gramEnd"/>
      <w:r w:rsidRPr="004E32B3">
        <w:rPr>
          <w:lang w:val="en-GB"/>
        </w:rPr>
        <w:t>2020) 65</w:t>
      </w:r>
      <w:r>
        <w:rPr>
          <w:lang w:val="en-GB"/>
        </w:rPr>
        <w:t xml:space="preserve">, p. 16. </w:t>
      </w:r>
    </w:p>
  </w:footnote>
  <w:footnote w:id="10">
    <w:p w14:paraId="7A64DC09" w14:textId="77777777" w:rsidR="00F819B0" w:rsidRPr="00F4607C" w:rsidRDefault="00F819B0" w:rsidP="00651F9B">
      <w:pPr>
        <w:pStyle w:val="Testonotaapidipagina"/>
        <w:jc w:val="both"/>
        <w:rPr>
          <w:lang w:val="en-GB"/>
        </w:rPr>
      </w:pPr>
      <w:r>
        <w:rPr>
          <w:rStyle w:val="Rimandonotaapidipagina"/>
        </w:rPr>
        <w:footnoteRef/>
      </w:r>
      <w:r w:rsidRPr="00F4607C">
        <w:rPr>
          <w:lang w:val="en-GB"/>
        </w:rPr>
        <w:t xml:space="preserve"> For </w:t>
      </w:r>
      <w:r>
        <w:rPr>
          <w:lang w:val="en-GB"/>
        </w:rPr>
        <w:t xml:space="preserve">examples of the application of such technologies, see </w:t>
      </w:r>
      <w:r w:rsidRPr="00F4607C">
        <w:rPr>
          <w:lang w:val="en-GB"/>
        </w:rPr>
        <w:t xml:space="preserve">E. </w:t>
      </w:r>
      <w:r w:rsidRPr="00E93D16">
        <w:rPr>
          <w:smallCaps/>
          <w:lang w:val="en-GB"/>
        </w:rPr>
        <w:t>Rosati</w:t>
      </w:r>
      <w:r w:rsidRPr="00F4607C">
        <w:rPr>
          <w:i/>
          <w:iCs/>
          <w:lang w:val="en-GB"/>
        </w:rPr>
        <w:t>, Copyright as an Obstacle or an Enabler? A European Perspective on Text and Data Mining and Its Role in the Development of AI Creativity</w:t>
      </w:r>
      <w:r w:rsidRPr="00F4607C">
        <w:rPr>
          <w:lang w:val="en-GB"/>
        </w:rPr>
        <w:t xml:space="preserve">, in </w:t>
      </w:r>
      <w:r w:rsidRPr="00E93D16">
        <w:rPr>
          <w:i/>
          <w:iCs/>
          <w:lang w:val="en-GB"/>
        </w:rPr>
        <w:t>Asia Pac. Law Rev.</w:t>
      </w:r>
      <w:r w:rsidRPr="00F4607C">
        <w:rPr>
          <w:lang w:val="en-GB"/>
        </w:rPr>
        <w:t xml:space="preserve"> 2019, </w:t>
      </w:r>
      <w:r>
        <w:rPr>
          <w:lang w:val="en-GB"/>
        </w:rPr>
        <w:t xml:space="preserve">p. </w:t>
      </w:r>
      <w:r w:rsidRPr="00F4607C">
        <w:rPr>
          <w:lang w:val="en-GB"/>
        </w:rPr>
        <w:t>198 ff</w:t>
      </w:r>
      <w:r>
        <w:rPr>
          <w:lang w:val="en-GB"/>
        </w:rPr>
        <w:t>.</w:t>
      </w:r>
    </w:p>
  </w:footnote>
  <w:footnote w:id="11">
    <w:p w14:paraId="0A5A2E3F" w14:textId="77777777" w:rsidR="00F819B0" w:rsidRPr="005E5FF4" w:rsidRDefault="00F819B0" w:rsidP="00651F9B">
      <w:pPr>
        <w:pStyle w:val="Testonotaapidipagina"/>
        <w:jc w:val="both"/>
        <w:rPr>
          <w:lang w:val="en-GB"/>
        </w:rPr>
      </w:pPr>
      <w:r>
        <w:rPr>
          <w:rStyle w:val="Rimandonotaapidipagina"/>
        </w:rPr>
        <w:footnoteRef/>
      </w:r>
      <w:r w:rsidRPr="005E5FF4">
        <w:rPr>
          <w:lang w:val="en-GB"/>
        </w:rPr>
        <w:t xml:space="preserve"> </w:t>
      </w:r>
      <w:r>
        <w:rPr>
          <w:lang w:val="en-GB"/>
        </w:rPr>
        <w:t xml:space="preserve">See, from Christie’s website, </w:t>
      </w:r>
      <w:r w:rsidRPr="005E5FF4">
        <w:rPr>
          <w:i/>
          <w:iCs/>
          <w:lang w:val="en-GB"/>
        </w:rPr>
        <w:t>Is artificial intelligence set to become art’s next medium?</w:t>
      </w:r>
      <w:r>
        <w:rPr>
          <w:i/>
          <w:iCs/>
          <w:lang w:val="en-GB"/>
        </w:rPr>
        <w:t>,</w:t>
      </w:r>
      <w:bookmarkStart w:id="4" w:name="_Hlk46659563"/>
      <w:r>
        <w:rPr>
          <w:i/>
          <w:iCs/>
          <w:lang w:val="en-GB"/>
        </w:rPr>
        <w:t xml:space="preserve"> </w:t>
      </w:r>
      <w:hyperlink r:id="rId4" w:history="1">
        <w:r w:rsidRPr="00556C84">
          <w:rPr>
            <w:rStyle w:val="Collegamentoipertestuale"/>
            <w:lang w:val="en-GB"/>
          </w:rPr>
          <w:t>https://www.christies.com/features/A-collaboration-between-two-artists-one-human-one-a-machine-9332-1.aspx</w:t>
        </w:r>
      </w:hyperlink>
      <w:r w:rsidRPr="00556C84">
        <w:rPr>
          <w:lang w:val="en-GB"/>
        </w:rPr>
        <w:t xml:space="preserve">, </w:t>
      </w:r>
      <w:r>
        <w:rPr>
          <w:lang w:val="en-GB"/>
        </w:rPr>
        <w:t>l</w:t>
      </w:r>
      <w:r w:rsidRPr="00E93D16">
        <w:rPr>
          <w:lang w:val="en-GB"/>
        </w:rPr>
        <w:t xml:space="preserve">ast accessed on </w:t>
      </w:r>
      <w:r>
        <w:rPr>
          <w:lang w:val="en-GB"/>
        </w:rPr>
        <w:t xml:space="preserve">25 </w:t>
      </w:r>
      <w:r w:rsidRPr="00E93D16">
        <w:rPr>
          <w:lang w:val="en-GB"/>
        </w:rPr>
        <w:t xml:space="preserve">July 2020.  </w:t>
      </w:r>
      <w:bookmarkEnd w:id="4"/>
    </w:p>
  </w:footnote>
  <w:footnote w:id="12">
    <w:p w14:paraId="40ACECCC" w14:textId="77777777" w:rsidR="00F819B0" w:rsidRPr="00255728" w:rsidRDefault="00F819B0" w:rsidP="00651F9B">
      <w:pPr>
        <w:pStyle w:val="Testonotaapidipagina"/>
        <w:jc w:val="both"/>
        <w:rPr>
          <w:lang w:val="en-GB"/>
        </w:rPr>
      </w:pPr>
      <w:r>
        <w:rPr>
          <w:rStyle w:val="Rimandonotaapidipagina"/>
        </w:rPr>
        <w:footnoteRef/>
      </w:r>
      <w:r w:rsidRPr="00255728">
        <w:rPr>
          <w:lang w:val="en-GB"/>
        </w:rPr>
        <w:t xml:space="preserve"> </w:t>
      </w:r>
      <w:r>
        <w:rPr>
          <w:lang w:val="en-GB"/>
        </w:rPr>
        <w:t xml:space="preserve">See the article by J. </w:t>
      </w:r>
      <w:r w:rsidRPr="004F5FF9">
        <w:rPr>
          <w:smallCaps/>
          <w:lang w:val="en-GB"/>
        </w:rPr>
        <w:t>Vincent</w:t>
      </w:r>
      <w:r>
        <w:rPr>
          <w:lang w:val="en-GB"/>
        </w:rPr>
        <w:t xml:space="preserve">, </w:t>
      </w:r>
      <w:r w:rsidRPr="00371A23">
        <w:rPr>
          <w:i/>
          <w:iCs/>
          <w:lang w:val="en-GB"/>
        </w:rPr>
        <w:t>How Three French Students Used Borrowed Code to Put the First AI Portrait in Christie’s</w:t>
      </w:r>
      <w:r>
        <w:rPr>
          <w:lang w:val="en-GB"/>
        </w:rPr>
        <w:t xml:space="preserve">, </w:t>
      </w:r>
      <w:hyperlink r:id="rId5" w:history="1">
        <w:r w:rsidRPr="00564A55">
          <w:rPr>
            <w:rStyle w:val="Collegamentoipertestuale"/>
            <w:lang w:val="en-GB"/>
          </w:rPr>
          <w:t>https://www.theverge.com/2018/10/23/18013190/ai-art-portrait-auction-christies-belamy-obvious-robbie-barrat-gans</w:t>
        </w:r>
      </w:hyperlink>
      <w:r>
        <w:rPr>
          <w:lang w:val="en-GB"/>
        </w:rPr>
        <w:t xml:space="preserve">, </w:t>
      </w:r>
      <w:r w:rsidRPr="00786A1A">
        <w:rPr>
          <w:lang w:val="en-GB"/>
        </w:rPr>
        <w:t xml:space="preserve">last accessed on </w:t>
      </w:r>
      <w:r>
        <w:rPr>
          <w:lang w:val="en-GB"/>
        </w:rPr>
        <w:t xml:space="preserve">25 </w:t>
      </w:r>
      <w:r w:rsidRPr="00786A1A">
        <w:rPr>
          <w:lang w:val="en-GB"/>
        </w:rPr>
        <w:t xml:space="preserve">July 2020.  </w:t>
      </w:r>
    </w:p>
  </w:footnote>
  <w:footnote w:id="13">
    <w:p w14:paraId="450513A5" w14:textId="77777777" w:rsidR="00F819B0" w:rsidRPr="00906E02" w:rsidRDefault="00F819B0" w:rsidP="00651F9B">
      <w:pPr>
        <w:pStyle w:val="Testonotaapidipagina"/>
        <w:jc w:val="both"/>
        <w:rPr>
          <w:lang w:val="en-GB"/>
        </w:rPr>
      </w:pPr>
      <w:r>
        <w:rPr>
          <w:rStyle w:val="Rimandonotaapidipagina"/>
        </w:rPr>
        <w:footnoteRef/>
      </w:r>
      <w:r w:rsidRPr="00906E02">
        <w:rPr>
          <w:lang w:val="en-GB"/>
        </w:rPr>
        <w:t xml:space="preserve"> </w:t>
      </w:r>
      <w:r w:rsidRPr="00746237">
        <w:rPr>
          <w:lang w:val="en-GB"/>
        </w:rPr>
        <w:t>I. J</w:t>
      </w:r>
      <w:r w:rsidRPr="00786A1A">
        <w:rPr>
          <w:smallCaps/>
          <w:lang w:val="en-GB"/>
        </w:rPr>
        <w:t>. Goodfellow et al</w:t>
      </w:r>
      <w:r w:rsidRPr="00746237">
        <w:rPr>
          <w:lang w:val="en-GB"/>
        </w:rPr>
        <w:t xml:space="preserve">., </w:t>
      </w:r>
      <w:r w:rsidRPr="00746237">
        <w:rPr>
          <w:i/>
          <w:iCs/>
          <w:lang w:val="en-GB"/>
        </w:rPr>
        <w:t>Generative Adversarial Netwo</w:t>
      </w:r>
      <w:r>
        <w:rPr>
          <w:i/>
          <w:iCs/>
          <w:lang w:val="en-GB"/>
        </w:rPr>
        <w:t>r</w:t>
      </w:r>
      <w:r w:rsidRPr="00746237">
        <w:rPr>
          <w:i/>
          <w:iCs/>
          <w:lang w:val="en-GB"/>
        </w:rPr>
        <w:t>ks</w:t>
      </w:r>
      <w:r w:rsidRPr="00746237">
        <w:rPr>
          <w:lang w:val="en-GB"/>
        </w:rPr>
        <w:t xml:space="preserve">, 2014, </w:t>
      </w:r>
      <w:hyperlink r:id="rId6" w:history="1">
        <w:r w:rsidRPr="00564A55">
          <w:rPr>
            <w:rStyle w:val="Collegamentoipertestuale"/>
            <w:lang w:val="en-GB"/>
          </w:rPr>
          <w:t>https://arxiv.org/abs/1406.2661</w:t>
        </w:r>
      </w:hyperlink>
      <w:r>
        <w:rPr>
          <w:lang w:val="en-GB"/>
        </w:rPr>
        <w:t xml:space="preserve">, </w:t>
      </w:r>
      <w:r w:rsidRPr="00786A1A">
        <w:rPr>
          <w:lang w:val="en-GB"/>
        </w:rPr>
        <w:t xml:space="preserve">last accessed on </w:t>
      </w:r>
      <w:r>
        <w:rPr>
          <w:lang w:val="en-GB"/>
        </w:rPr>
        <w:t xml:space="preserve">25 </w:t>
      </w:r>
      <w:r w:rsidRPr="00786A1A">
        <w:rPr>
          <w:lang w:val="en-GB"/>
        </w:rPr>
        <w:t xml:space="preserve">July 2020.  </w:t>
      </w:r>
    </w:p>
  </w:footnote>
  <w:footnote w:id="14">
    <w:p w14:paraId="6ECF69FE" w14:textId="77777777" w:rsidR="00F819B0" w:rsidRPr="009879A7" w:rsidRDefault="00F819B0" w:rsidP="00651F9B">
      <w:pPr>
        <w:pStyle w:val="Testonotaapidipagina"/>
        <w:jc w:val="both"/>
        <w:rPr>
          <w:lang w:val="en-GB"/>
        </w:rPr>
      </w:pPr>
      <w:r>
        <w:rPr>
          <w:rStyle w:val="Rimandonotaapidipagina"/>
        </w:rPr>
        <w:footnoteRef/>
      </w:r>
      <w:r w:rsidRPr="009879A7">
        <w:rPr>
          <w:lang w:val="en-GB"/>
        </w:rPr>
        <w:t xml:space="preserve"> See the article </w:t>
      </w:r>
      <w:r>
        <w:rPr>
          <w:lang w:val="en-GB"/>
        </w:rPr>
        <w:t xml:space="preserve">by </w:t>
      </w:r>
      <w:r w:rsidRPr="00850777">
        <w:rPr>
          <w:smallCaps/>
          <w:lang w:val="en-GB"/>
        </w:rPr>
        <w:t>C. Nugent</w:t>
      </w:r>
      <w:r>
        <w:rPr>
          <w:lang w:val="en-GB"/>
        </w:rPr>
        <w:t xml:space="preserve">, </w:t>
      </w:r>
      <w:r w:rsidRPr="009879A7">
        <w:rPr>
          <w:i/>
          <w:iCs/>
          <w:lang w:val="en-GB"/>
        </w:rPr>
        <w:t xml:space="preserve">The Painter Behind These Artworks Is an AI Program. Do They Still Count as </w:t>
      </w:r>
      <w:proofErr w:type="gramStart"/>
      <w:r w:rsidRPr="009879A7">
        <w:rPr>
          <w:i/>
          <w:iCs/>
          <w:lang w:val="en-GB"/>
        </w:rPr>
        <w:t>Art?</w:t>
      </w:r>
      <w:r>
        <w:rPr>
          <w:i/>
          <w:iCs/>
          <w:lang w:val="en-GB"/>
        </w:rPr>
        <w:t>,</w:t>
      </w:r>
      <w:proofErr w:type="gramEnd"/>
      <w:r>
        <w:rPr>
          <w:i/>
          <w:iCs/>
          <w:lang w:val="en-GB"/>
        </w:rPr>
        <w:t xml:space="preserve"> </w:t>
      </w:r>
      <w:r>
        <w:rPr>
          <w:lang w:val="en-GB"/>
        </w:rPr>
        <w:t xml:space="preserve">20 August 2018, </w:t>
      </w:r>
      <w:hyperlink r:id="rId7" w:history="1">
        <w:r w:rsidRPr="00FF6C52">
          <w:rPr>
            <w:rStyle w:val="Collegamentoipertestuale"/>
            <w:lang w:val="en-GB"/>
          </w:rPr>
          <w:t>https://time.com/5357221/obvious-artificial-intelligence-art/</w:t>
        </w:r>
      </w:hyperlink>
      <w:r>
        <w:rPr>
          <w:lang w:val="en-GB"/>
        </w:rPr>
        <w:t xml:space="preserve">, </w:t>
      </w:r>
      <w:r w:rsidRPr="004F5FF9">
        <w:rPr>
          <w:lang w:val="en-GB"/>
        </w:rPr>
        <w:t xml:space="preserve">last accessed on </w:t>
      </w:r>
      <w:r>
        <w:rPr>
          <w:lang w:val="en-GB"/>
        </w:rPr>
        <w:t xml:space="preserve">25 </w:t>
      </w:r>
      <w:r w:rsidRPr="004F5FF9">
        <w:rPr>
          <w:lang w:val="en-GB"/>
        </w:rPr>
        <w:t>July</w:t>
      </w:r>
      <w:r>
        <w:rPr>
          <w:lang w:val="en-GB"/>
        </w:rPr>
        <w:t xml:space="preserve"> </w:t>
      </w:r>
      <w:r w:rsidRPr="004F5FF9">
        <w:rPr>
          <w:lang w:val="en-GB"/>
        </w:rPr>
        <w:t>2020</w:t>
      </w:r>
      <w:r>
        <w:rPr>
          <w:lang w:val="en-GB"/>
        </w:rPr>
        <w:t>.</w:t>
      </w:r>
    </w:p>
  </w:footnote>
  <w:footnote w:id="15">
    <w:p w14:paraId="2622394D" w14:textId="77777777" w:rsidR="00F819B0" w:rsidRPr="00B53A87" w:rsidRDefault="00F819B0" w:rsidP="00651F9B">
      <w:pPr>
        <w:pStyle w:val="Testonotaapidipagina"/>
        <w:jc w:val="both"/>
        <w:rPr>
          <w:lang w:val="en-GB"/>
        </w:rPr>
      </w:pPr>
      <w:r>
        <w:rPr>
          <w:rStyle w:val="Rimandonotaapidipagina"/>
        </w:rPr>
        <w:footnoteRef/>
      </w:r>
      <w:r w:rsidRPr="00B53A87">
        <w:rPr>
          <w:lang w:val="en-GB"/>
        </w:rPr>
        <w:t xml:space="preserve"> B</w:t>
      </w:r>
      <w:r>
        <w:rPr>
          <w:lang w:val="en-GB"/>
        </w:rPr>
        <w:t xml:space="preserve">. </w:t>
      </w:r>
      <w:r w:rsidRPr="003C28B7">
        <w:rPr>
          <w:smallCaps/>
          <w:lang w:val="en-GB"/>
        </w:rPr>
        <w:t>Martens,</w:t>
      </w:r>
      <w:r w:rsidRPr="00B53A87">
        <w:rPr>
          <w:lang w:val="en-GB"/>
        </w:rPr>
        <w:t xml:space="preserve"> </w:t>
      </w:r>
      <w:proofErr w:type="gramStart"/>
      <w:r w:rsidRPr="00B53A87">
        <w:rPr>
          <w:i/>
          <w:iCs/>
          <w:lang w:val="en-GB"/>
        </w:rPr>
        <w:t>The</w:t>
      </w:r>
      <w:proofErr w:type="gramEnd"/>
      <w:r>
        <w:rPr>
          <w:i/>
          <w:iCs/>
          <w:lang w:val="en-GB"/>
        </w:rPr>
        <w:t xml:space="preserve"> </w:t>
      </w:r>
      <w:r w:rsidRPr="00B53A87">
        <w:rPr>
          <w:i/>
          <w:iCs/>
          <w:lang w:val="en-GB"/>
        </w:rPr>
        <w:t>impact of data access regimes on artificial intelligence and machine learning</w:t>
      </w:r>
      <w:r w:rsidRPr="00B53A87">
        <w:rPr>
          <w:lang w:val="en-GB"/>
        </w:rPr>
        <w:t>, Digital Economy Working Paper 2018-09</w:t>
      </w:r>
      <w:r>
        <w:rPr>
          <w:lang w:val="en-GB"/>
        </w:rPr>
        <w:t xml:space="preserve">, </w:t>
      </w:r>
      <w:r w:rsidRPr="00B53A87">
        <w:rPr>
          <w:lang w:val="en-GB"/>
        </w:rPr>
        <w:t>JRC Technical Reports</w:t>
      </w:r>
      <w:r>
        <w:rPr>
          <w:lang w:val="en-GB"/>
        </w:rPr>
        <w:t>, p. 5</w:t>
      </w:r>
      <w:r w:rsidRPr="00B53A87">
        <w:rPr>
          <w:lang w:val="en-GB"/>
        </w:rPr>
        <w:t>.</w:t>
      </w:r>
    </w:p>
  </w:footnote>
  <w:footnote w:id="16">
    <w:p w14:paraId="09FCF48D" w14:textId="77777777" w:rsidR="00F819B0" w:rsidRPr="00482E03" w:rsidRDefault="00F819B0" w:rsidP="00651F9B">
      <w:pPr>
        <w:pStyle w:val="Testonotaapidipagina"/>
        <w:jc w:val="both"/>
        <w:rPr>
          <w:lang w:val="en-GB"/>
        </w:rPr>
      </w:pPr>
      <w:r>
        <w:rPr>
          <w:rStyle w:val="Rimandonotaapidipagina"/>
        </w:rPr>
        <w:footnoteRef/>
      </w:r>
      <w:r w:rsidRPr="00487493">
        <w:rPr>
          <w:lang w:val="en-GB"/>
        </w:rPr>
        <w:t xml:space="preserve"> </w:t>
      </w:r>
      <w:r>
        <w:rPr>
          <w:lang w:val="en-GB"/>
        </w:rPr>
        <w:t xml:space="preserve">M. </w:t>
      </w:r>
      <w:r w:rsidRPr="003C28B7">
        <w:rPr>
          <w:smallCaps/>
          <w:lang w:val="en-GB"/>
        </w:rPr>
        <w:t>Sag</w:t>
      </w:r>
      <w:r w:rsidRPr="00487493">
        <w:rPr>
          <w:lang w:val="en-GB"/>
        </w:rPr>
        <w:t xml:space="preserve">, </w:t>
      </w:r>
      <w:r w:rsidRPr="00482E03">
        <w:rPr>
          <w:i/>
          <w:iCs/>
          <w:lang w:val="en-GB"/>
        </w:rPr>
        <w:t>The New Legal Landscape for Text Mining and Machine Learning</w:t>
      </w:r>
      <w:r>
        <w:rPr>
          <w:lang w:val="en-GB"/>
        </w:rPr>
        <w:t xml:space="preserve">, </w:t>
      </w:r>
      <w:r w:rsidRPr="0084362F">
        <w:rPr>
          <w:lang w:val="en-GB"/>
        </w:rPr>
        <w:t>in</w:t>
      </w:r>
      <w:r w:rsidRPr="00482E03">
        <w:rPr>
          <w:i/>
          <w:iCs/>
          <w:lang w:val="en-GB"/>
        </w:rPr>
        <w:t xml:space="preserve"> Journal of the Copyright Society of the USA</w:t>
      </w:r>
      <w:r>
        <w:rPr>
          <w:lang w:val="en-GB"/>
        </w:rPr>
        <w:t xml:space="preserve"> 2019, </w:t>
      </w:r>
      <w:r w:rsidRPr="003C28B7">
        <w:rPr>
          <w:lang w:val="en-GB"/>
        </w:rPr>
        <w:t>Vol. 66</w:t>
      </w:r>
      <w:r>
        <w:rPr>
          <w:lang w:val="en-GB"/>
        </w:rPr>
        <w:t>,</w:t>
      </w:r>
      <w:r w:rsidRPr="003C28B7">
        <w:rPr>
          <w:lang w:val="en-GB"/>
        </w:rPr>
        <w:t xml:space="preserve"> p.</w:t>
      </w:r>
      <w:r>
        <w:rPr>
          <w:lang w:val="en-GB"/>
        </w:rPr>
        <w:t xml:space="preserve"> 306</w:t>
      </w:r>
      <w:r w:rsidRPr="00482E03">
        <w:rPr>
          <w:lang w:val="en-GB"/>
        </w:rPr>
        <w:t>.</w:t>
      </w:r>
    </w:p>
  </w:footnote>
  <w:footnote w:id="17">
    <w:p w14:paraId="483E73D4" w14:textId="11AFD3A4" w:rsidR="00F819B0" w:rsidRPr="00DF2EF6" w:rsidRDefault="00F819B0" w:rsidP="00651F9B">
      <w:pPr>
        <w:pStyle w:val="Testonotaapidipagina"/>
        <w:tabs>
          <w:tab w:val="left" w:pos="5670"/>
        </w:tabs>
        <w:jc w:val="both"/>
        <w:rPr>
          <w:lang w:val="en-GB"/>
        </w:rPr>
      </w:pPr>
      <w:r>
        <w:rPr>
          <w:rStyle w:val="Rimandonotaapidipagina"/>
        </w:rPr>
        <w:footnoteRef/>
      </w:r>
      <w:r w:rsidRPr="00DF2EF6">
        <w:rPr>
          <w:lang w:val="en-GB"/>
        </w:rPr>
        <w:t xml:space="preserve"> </w:t>
      </w:r>
      <w:r w:rsidRPr="00457254">
        <w:rPr>
          <w:smallCaps/>
          <w:lang w:val="en-GB"/>
        </w:rPr>
        <w:t xml:space="preserve">C. Geiger, G. </w:t>
      </w:r>
      <w:proofErr w:type="spellStart"/>
      <w:r w:rsidRPr="00457254">
        <w:rPr>
          <w:smallCaps/>
          <w:lang w:val="en-GB"/>
        </w:rPr>
        <w:t>Frosio</w:t>
      </w:r>
      <w:proofErr w:type="spellEnd"/>
      <w:r w:rsidRPr="00457254">
        <w:rPr>
          <w:smallCaps/>
          <w:lang w:val="en-GB"/>
        </w:rPr>
        <w:t xml:space="preserve">, O. </w:t>
      </w:r>
      <w:proofErr w:type="spellStart"/>
      <w:r w:rsidRPr="00457254">
        <w:rPr>
          <w:smallCaps/>
          <w:lang w:val="en-GB"/>
        </w:rPr>
        <w:t>Bulayenko</w:t>
      </w:r>
      <w:proofErr w:type="spellEnd"/>
      <w:r w:rsidRPr="005C62AD">
        <w:rPr>
          <w:lang w:val="en-GB"/>
        </w:rPr>
        <w:t xml:space="preserve">, </w:t>
      </w:r>
      <w:r w:rsidRPr="006C16F6">
        <w:rPr>
          <w:i/>
          <w:iCs/>
          <w:lang w:val="en-GB"/>
        </w:rPr>
        <w:t xml:space="preserve">Text and Data Mining: </w:t>
      </w:r>
      <w:r>
        <w:rPr>
          <w:i/>
          <w:iCs/>
          <w:lang w:val="en-GB"/>
        </w:rPr>
        <w:t>A</w:t>
      </w:r>
      <w:r w:rsidRPr="006C16F6">
        <w:rPr>
          <w:i/>
          <w:iCs/>
          <w:lang w:val="en-GB"/>
        </w:rPr>
        <w:t>rticles 3 and 4 of Directive 2019/790/EU</w:t>
      </w:r>
      <w:r w:rsidRPr="005C62AD">
        <w:rPr>
          <w:lang w:val="en-GB"/>
        </w:rPr>
        <w:t xml:space="preserve">, </w:t>
      </w:r>
      <w:r w:rsidRPr="006C16F6">
        <w:rPr>
          <w:lang w:val="en-GB"/>
        </w:rPr>
        <w:t>Centre for International Intellectual Property Studies (CEIPI) Research Paper No. 2019-08</w:t>
      </w:r>
      <w:r>
        <w:rPr>
          <w:lang w:val="en-GB"/>
        </w:rPr>
        <w:t xml:space="preserve">, p. </w:t>
      </w:r>
      <w:r w:rsidRPr="005C62AD">
        <w:rPr>
          <w:lang w:val="en-GB"/>
        </w:rPr>
        <w:t>6; R.</w:t>
      </w:r>
      <w:r w:rsidRPr="00DF2EF6">
        <w:rPr>
          <w:lang w:val="en-GB"/>
        </w:rPr>
        <w:t xml:space="preserve"> </w:t>
      </w:r>
      <w:r w:rsidRPr="00457254">
        <w:rPr>
          <w:smallCaps/>
          <w:lang w:val="en-GB"/>
        </w:rPr>
        <w:t>Caso</w:t>
      </w:r>
      <w:r w:rsidRPr="00DF2EF6">
        <w:rPr>
          <w:i/>
          <w:iCs/>
          <w:lang w:val="en-GB"/>
        </w:rPr>
        <w:t xml:space="preserve">, Il </w:t>
      </w:r>
      <w:proofErr w:type="spellStart"/>
      <w:r w:rsidRPr="00DF2EF6">
        <w:rPr>
          <w:i/>
          <w:iCs/>
          <w:lang w:val="en-GB"/>
        </w:rPr>
        <w:t>conflitto</w:t>
      </w:r>
      <w:proofErr w:type="spellEnd"/>
      <w:r w:rsidRPr="00DF2EF6">
        <w:rPr>
          <w:i/>
          <w:iCs/>
          <w:lang w:val="en-GB"/>
        </w:rPr>
        <w:t xml:space="preserve"> </w:t>
      </w:r>
      <w:proofErr w:type="spellStart"/>
      <w:r w:rsidRPr="00DF2EF6">
        <w:rPr>
          <w:i/>
          <w:iCs/>
          <w:lang w:val="en-GB"/>
        </w:rPr>
        <w:t>tra</w:t>
      </w:r>
      <w:proofErr w:type="spellEnd"/>
      <w:r w:rsidRPr="00DF2EF6">
        <w:rPr>
          <w:i/>
          <w:iCs/>
          <w:lang w:val="en-GB"/>
        </w:rPr>
        <w:t xml:space="preserve"> </w:t>
      </w:r>
      <w:proofErr w:type="spellStart"/>
      <w:r w:rsidRPr="00DF2EF6">
        <w:rPr>
          <w:i/>
          <w:iCs/>
          <w:lang w:val="en-GB"/>
        </w:rPr>
        <w:t>diritto</w:t>
      </w:r>
      <w:proofErr w:type="spellEnd"/>
      <w:r w:rsidRPr="00DF2EF6">
        <w:rPr>
          <w:i/>
          <w:iCs/>
          <w:lang w:val="en-GB"/>
        </w:rPr>
        <w:t xml:space="preserve"> </w:t>
      </w:r>
      <w:proofErr w:type="spellStart"/>
      <w:r w:rsidRPr="00DF2EF6">
        <w:rPr>
          <w:i/>
          <w:iCs/>
          <w:lang w:val="en-GB"/>
        </w:rPr>
        <w:t>d’autore</w:t>
      </w:r>
      <w:proofErr w:type="spellEnd"/>
      <w:r w:rsidRPr="00DF2EF6">
        <w:rPr>
          <w:i/>
          <w:iCs/>
          <w:lang w:val="en-GB"/>
        </w:rPr>
        <w:t xml:space="preserve"> e </w:t>
      </w:r>
      <w:proofErr w:type="spellStart"/>
      <w:r w:rsidRPr="00DF2EF6">
        <w:rPr>
          <w:i/>
          <w:iCs/>
          <w:lang w:val="en-GB"/>
        </w:rPr>
        <w:t>ricerca</w:t>
      </w:r>
      <w:proofErr w:type="spellEnd"/>
      <w:r w:rsidRPr="00DF2EF6">
        <w:rPr>
          <w:i/>
          <w:iCs/>
          <w:lang w:val="en-GB"/>
        </w:rPr>
        <w:t xml:space="preserve"> </w:t>
      </w:r>
      <w:proofErr w:type="spellStart"/>
      <w:r w:rsidRPr="00DF2EF6">
        <w:rPr>
          <w:i/>
          <w:iCs/>
          <w:lang w:val="en-GB"/>
        </w:rPr>
        <w:t>scientifica</w:t>
      </w:r>
      <w:proofErr w:type="spellEnd"/>
      <w:r w:rsidRPr="00DF2EF6">
        <w:rPr>
          <w:i/>
          <w:iCs/>
          <w:lang w:val="en-GB"/>
        </w:rPr>
        <w:t xml:space="preserve"> </w:t>
      </w:r>
      <w:proofErr w:type="spellStart"/>
      <w:r w:rsidRPr="00DF2EF6">
        <w:rPr>
          <w:i/>
          <w:iCs/>
          <w:lang w:val="en-GB"/>
        </w:rPr>
        <w:t>nella</w:t>
      </w:r>
      <w:proofErr w:type="spellEnd"/>
      <w:r w:rsidRPr="00DF2EF6">
        <w:rPr>
          <w:i/>
          <w:iCs/>
          <w:lang w:val="en-GB"/>
        </w:rPr>
        <w:t xml:space="preserve"> </w:t>
      </w:r>
      <w:proofErr w:type="spellStart"/>
      <w:r w:rsidRPr="00DF2EF6">
        <w:rPr>
          <w:i/>
          <w:iCs/>
          <w:lang w:val="en-GB"/>
        </w:rPr>
        <w:t>disciplina</w:t>
      </w:r>
      <w:proofErr w:type="spellEnd"/>
      <w:r w:rsidRPr="00DF2EF6">
        <w:rPr>
          <w:i/>
          <w:iCs/>
          <w:lang w:val="en-GB"/>
        </w:rPr>
        <w:t xml:space="preserve"> del text and data mining </w:t>
      </w:r>
      <w:proofErr w:type="spellStart"/>
      <w:r w:rsidRPr="00DF2EF6">
        <w:rPr>
          <w:i/>
          <w:iCs/>
          <w:lang w:val="en-GB"/>
        </w:rPr>
        <w:t>della</w:t>
      </w:r>
      <w:proofErr w:type="spellEnd"/>
      <w:r w:rsidRPr="00DF2EF6">
        <w:rPr>
          <w:i/>
          <w:iCs/>
          <w:lang w:val="en-GB"/>
        </w:rPr>
        <w:t xml:space="preserve"> </w:t>
      </w:r>
      <w:proofErr w:type="spellStart"/>
      <w:r w:rsidRPr="00DF2EF6">
        <w:rPr>
          <w:i/>
          <w:iCs/>
          <w:lang w:val="en-GB"/>
        </w:rPr>
        <w:t>direttiva</w:t>
      </w:r>
      <w:proofErr w:type="spellEnd"/>
      <w:r w:rsidRPr="00DF2EF6">
        <w:rPr>
          <w:i/>
          <w:iCs/>
          <w:lang w:val="en-GB"/>
        </w:rPr>
        <w:t xml:space="preserve"> </w:t>
      </w:r>
      <w:proofErr w:type="spellStart"/>
      <w:r w:rsidRPr="00DF2EF6">
        <w:rPr>
          <w:i/>
          <w:iCs/>
          <w:lang w:val="en-GB"/>
        </w:rPr>
        <w:t>sul</w:t>
      </w:r>
      <w:proofErr w:type="spellEnd"/>
      <w:r w:rsidRPr="00DF2EF6">
        <w:rPr>
          <w:i/>
          <w:iCs/>
          <w:lang w:val="en-GB"/>
        </w:rPr>
        <w:t xml:space="preserve"> </w:t>
      </w:r>
      <w:proofErr w:type="spellStart"/>
      <w:r w:rsidRPr="00DF2EF6">
        <w:rPr>
          <w:i/>
          <w:iCs/>
          <w:lang w:val="en-GB"/>
        </w:rPr>
        <w:t>mercato</w:t>
      </w:r>
      <w:proofErr w:type="spellEnd"/>
      <w:r w:rsidRPr="00DF2EF6">
        <w:rPr>
          <w:i/>
          <w:iCs/>
          <w:lang w:val="en-GB"/>
        </w:rPr>
        <w:t xml:space="preserve"> </w:t>
      </w:r>
      <w:proofErr w:type="spellStart"/>
      <w:r w:rsidRPr="00DF2EF6">
        <w:rPr>
          <w:i/>
          <w:iCs/>
          <w:lang w:val="en-GB"/>
        </w:rPr>
        <w:t>unico</w:t>
      </w:r>
      <w:proofErr w:type="spellEnd"/>
      <w:r w:rsidRPr="00DF2EF6">
        <w:rPr>
          <w:i/>
          <w:iCs/>
          <w:lang w:val="en-GB"/>
        </w:rPr>
        <w:t xml:space="preserve"> </w:t>
      </w:r>
      <w:proofErr w:type="spellStart"/>
      <w:r w:rsidRPr="00DF2EF6">
        <w:rPr>
          <w:i/>
          <w:iCs/>
          <w:lang w:val="en-GB"/>
        </w:rPr>
        <w:t>digitale</w:t>
      </w:r>
      <w:proofErr w:type="spellEnd"/>
      <w:r w:rsidRPr="00DF2EF6">
        <w:rPr>
          <w:lang w:val="en-GB"/>
        </w:rPr>
        <w:t xml:space="preserve">, Trento Law and Technology Research Group Research Paper n. 38, 2020, </w:t>
      </w:r>
      <w:r>
        <w:rPr>
          <w:lang w:val="en-GB"/>
        </w:rPr>
        <w:t xml:space="preserve">p. </w:t>
      </w:r>
      <w:r w:rsidRPr="00DF2EF6">
        <w:rPr>
          <w:lang w:val="en-GB"/>
        </w:rPr>
        <w:t xml:space="preserve">8; A. </w:t>
      </w:r>
      <w:proofErr w:type="spellStart"/>
      <w:r w:rsidRPr="00DF2EF6">
        <w:rPr>
          <w:lang w:val="en-GB"/>
        </w:rPr>
        <w:t>S</w:t>
      </w:r>
      <w:r w:rsidRPr="00457254">
        <w:rPr>
          <w:smallCaps/>
          <w:lang w:val="en-GB"/>
        </w:rPr>
        <w:t>trowel</w:t>
      </w:r>
      <w:proofErr w:type="spellEnd"/>
      <w:r w:rsidRPr="00DF2EF6">
        <w:rPr>
          <w:lang w:val="en-GB"/>
        </w:rPr>
        <w:t xml:space="preserve">, </w:t>
      </w:r>
      <w:r w:rsidRPr="00651F9B">
        <w:rPr>
          <w:i/>
          <w:iCs/>
          <w:lang w:val="en-GB"/>
        </w:rPr>
        <w:t>Reconstructing the Reproduction and Communication to the Public Rights:</w:t>
      </w:r>
      <w:r w:rsidRPr="00DF2EF6">
        <w:rPr>
          <w:i/>
          <w:iCs/>
          <w:lang w:val="en-GB"/>
        </w:rPr>
        <w:t xml:space="preserve"> How to Align Copyright with Its Fundamentals</w:t>
      </w:r>
      <w:r w:rsidRPr="00DF2EF6">
        <w:rPr>
          <w:lang w:val="en-GB"/>
        </w:rPr>
        <w:t xml:space="preserve">, in B. </w:t>
      </w:r>
      <w:proofErr w:type="spellStart"/>
      <w:r w:rsidRPr="00457254">
        <w:rPr>
          <w:smallCaps/>
          <w:lang w:val="en-GB"/>
        </w:rPr>
        <w:t>Hugenholtz</w:t>
      </w:r>
      <w:proofErr w:type="spellEnd"/>
      <w:r w:rsidRPr="00457254">
        <w:rPr>
          <w:smallCaps/>
          <w:lang w:val="en-GB"/>
        </w:rPr>
        <w:t xml:space="preserve"> </w:t>
      </w:r>
      <w:r w:rsidRPr="00DF2EF6">
        <w:rPr>
          <w:lang w:val="en-GB"/>
        </w:rPr>
        <w:t xml:space="preserve">(ed.), </w:t>
      </w:r>
      <w:r w:rsidRPr="00DF2EF6">
        <w:rPr>
          <w:i/>
          <w:iCs/>
          <w:lang w:val="en-GB"/>
        </w:rPr>
        <w:t>Copyright Reconstructed</w:t>
      </w:r>
      <w:r>
        <w:rPr>
          <w:i/>
          <w:iCs/>
          <w:lang w:val="en-GB"/>
        </w:rPr>
        <w:t>:</w:t>
      </w:r>
      <w:r w:rsidRPr="00DF2EF6">
        <w:rPr>
          <w:i/>
          <w:iCs/>
          <w:lang w:val="en-GB"/>
        </w:rPr>
        <w:t xml:space="preserve"> Rethinking Copyright’s Economic Rights in a Time of Highly Dynamic Technological and Economic Change</w:t>
      </w:r>
      <w:r w:rsidRPr="00DF2EF6">
        <w:rPr>
          <w:lang w:val="en-GB"/>
        </w:rPr>
        <w:t xml:space="preserve">, Wolters Kluwer, 2018, </w:t>
      </w:r>
      <w:r>
        <w:rPr>
          <w:lang w:val="en-GB"/>
        </w:rPr>
        <w:t xml:space="preserve">p. </w:t>
      </w:r>
      <w:r w:rsidRPr="00DF2EF6">
        <w:rPr>
          <w:lang w:val="en-GB"/>
        </w:rPr>
        <w:t>203</w:t>
      </w:r>
      <w:r>
        <w:rPr>
          <w:lang w:val="en-GB"/>
        </w:rPr>
        <w:t>;</w:t>
      </w:r>
      <w:r w:rsidRPr="00DF2EF6">
        <w:rPr>
          <w:lang w:val="en-GB"/>
        </w:rPr>
        <w:t xml:space="preserve">  </w:t>
      </w:r>
      <w:r w:rsidRPr="00457254">
        <w:rPr>
          <w:smallCaps/>
          <w:lang w:val="en-GB"/>
        </w:rPr>
        <w:t xml:space="preserve">R. </w:t>
      </w:r>
      <w:proofErr w:type="spellStart"/>
      <w:r w:rsidRPr="00457254">
        <w:rPr>
          <w:smallCaps/>
          <w:lang w:val="en-GB"/>
        </w:rPr>
        <w:t>Ducato</w:t>
      </w:r>
      <w:proofErr w:type="spellEnd"/>
      <w:r w:rsidRPr="00457254">
        <w:rPr>
          <w:smallCaps/>
          <w:lang w:val="en-GB"/>
        </w:rPr>
        <w:t xml:space="preserve">, A. </w:t>
      </w:r>
      <w:proofErr w:type="spellStart"/>
      <w:r w:rsidRPr="00457254">
        <w:rPr>
          <w:smallCaps/>
          <w:lang w:val="en-GB"/>
        </w:rPr>
        <w:t>Strowel</w:t>
      </w:r>
      <w:proofErr w:type="spellEnd"/>
      <w:r w:rsidRPr="00DF2EF6">
        <w:rPr>
          <w:i/>
          <w:iCs/>
          <w:lang w:val="en-GB"/>
        </w:rPr>
        <w:t>, Limitations to Text and Data Mining and Consumer Empowerment: Making the Case for a Right to “Machine Legibility</w:t>
      </w:r>
      <w:r w:rsidRPr="00DF2EF6">
        <w:rPr>
          <w:lang w:val="en-GB"/>
        </w:rPr>
        <w:t xml:space="preserve">”, in </w:t>
      </w:r>
      <w:r w:rsidRPr="00DF2EF6">
        <w:rPr>
          <w:i/>
          <w:iCs/>
          <w:lang w:val="en-GB"/>
        </w:rPr>
        <w:t>IIC</w:t>
      </w:r>
      <w:r>
        <w:rPr>
          <w:lang w:val="en-GB"/>
        </w:rPr>
        <w:t xml:space="preserve"> </w:t>
      </w:r>
      <w:r w:rsidRPr="00DF2EF6">
        <w:rPr>
          <w:lang w:val="en-GB"/>
        </w:rPr>
        <w:t>2019,</w:t>
      </w:r>
      <w:r>
        <w:rPr>
          <w:lang w:val="en-GB"/>
        </w:rPr>
        <w:t xml:space="preserve"> p.</w:t>
      </w:r>
      <w:r w:rsidRPr="00DF2EF6">
        <w:rPr>
          <w:lang w:val="en-GB"/>
        </w:rPr>
        <w:t xml:space="preserve"> 649</w:t>
      </w:r>
      <w:r>
        <w:rPr>
          <w:lang w:val="en-GB"/>
        </w:rPr>
        <w:t xml:space="preserve">; M. </w:t>
      </w:r>
      <w:proofErr w:type="spellStart"/>
      <w:r w:rsidRPr="00457254">
        <w:rPr>
          <w:smallCaps/>
          <w:lang w:val="en-GB"/>
        </w:rPr>
        <w:t>Borghi</w:t>
      </w:r>
      <w:proofErr w:type="spellEnd"/>
      <w:r w:rsidRPr="00457254">
        <w:rPr>
          <w:smallCaps/>
          <w:lang w:val="en-GB"/>
        </w:rPr>
        <w:t xml:space="preserve">, S. </w:t>
      </w:r>
      <w:proofErr w:type="spellStart"/>
      <w:r w:rsidRPr="00457254">
        <w:rPr>
          <w:smallCaps/>
          <w:lang w:val="en-GB"/>
        </w:rPr>
        <w:t>Karapapa</w:t>
      </w:r>
      <w:proofErr w:type="spellEnd"/>
      <w:r>
        <w:rPr>
          <w:lang w:val="en-GB"/>
        </w:rPr>
        <w:t xml:space="preserve">, </w:t>
      </w:r>
      <w:r w:rsidRPr="00F759C7">
        <w:rPr>
          <w:i/>
          <w:iCs/>
          <w:lang w:val="en-GB"/>
        </w:rPr>
        <w:t>Copyright and Mass Digitization</w:t>
      </w:r>
      <w:r>
        <w:rPr>
          <w:lang w:val="en-GB"/>
        </w:rPr>
        <w:t xml:space="preserve">, Oxford University Press, 2013, p. 51; M. </w:t>
      </w:r>
      <w:r w:rsidRPr="00457254">
        <w:rPr>
          <w:smallCaps/>
          <w:lang w:val="en-GB"/>
        </w:rPr>
        <w:t>Sag</w:t>
      </w:r>
      <w:r>
        <w:rPr>
          <w:lang w:val="en-GB"/>
        </w:rPr>
        <w:t xml:space="preserve">, </w:t>
      </w:r>
      <w:r w:rsidRPr="00F759C7">
        <w:rPr>
          <w:i/>
          <w:iCs/>
          <w:lang w:val="en-GB"/>
        </w:rPr>
        <w:t>The New Legal Landscape For Text Mining and Machine Learning</w:t>
      </w:r>
      <w:r>
        <w:rPr>
          <w:lang w:val="en-GB"/>
        </w:rPr>
        <w:t>, supra at note 16, p. 307.</w:t>
      </w:r>
    </w:p>
  </w:footnote>
  <w:footnote w:id="18">
    <w:p w14:paraId="1EEE651C" w14:textId="77777777" w:rsidR="00F819B0" w:rsidRPr="005C7A0E" w:rsidRDefault="00F819B0" w:rsidP="00651F9B">
      <w:pPr>
        <w:pStyle w:val="Testonotaapidipagina"/>
        <w:jc w:val="both"/>
        <w:rPr>
          <w:lang w:val="en-GB"/>
        </w:rPr>
      </w:pPr>
      <w:r>
        <w:rPr>
          <w:rStyle w:val="Rimandonotaapidipagina"/>
        </w:rPr>
        <w:footnoteRef/>
      </w:r>
      <w:r>
        <w:rPr>
          <w:lang w:val="en-GB"/>
        </w:rPr>
        <w:t xml:space="preserve"> </w:t>
      </w:r>
      <w:r w:rsidRPr="00EF5527">
        <w:rPr>
          <w:rFonts w:cstheme="minorHAnsi"/>
          <w:smallCaps/>
          <w:lang w:val="en-GB"/>
        </w:rPr>
        <w:t>WIPO S</w:t>
      </w:r>
      <w:r>
        <w:rPr>
          <w:rFonts w:cstheme="minorHAnsi"/>
          <w:smallCaps/>
          <w:lang w:val="en-GB"/>
        </w:rPr>
        <w:t>ecretariat</w:t>
      </w:r>
      <w:r>
        <w:rPr>
          <w:lang w:val="en-GB"/>
        </w:rPr>
        <w:t xml:space="preserve">, </w:t>
      </w:r>
      <w:r w:rsidRPr="005C7A0E">
        <w:rPr>
          <w:i/>
          <w:iCs/>
          <w:lang w:val="en-GB"/>
        </w:rPr>
        <w:t>Draft Issues Paper on Intellectual Property Policy and Artificial Intelligence</w:t>
      </w:r>
      <w:r>
        <w:rPr>
          <w:i/>
          <w:iCs/>
          <w:lang w:val="en-GB"/>
        </w:rPr>
        <w:t xml:space="preserve">, </w:t>
      </w:r>
      <w:r>
        <w:rPr>
          <w:lang w:val="en-GB"/>
        </w:rPr>
        <w:t>13 D</w:t>
      </w:r>
      <w:r w:rsidRPr="005C7A0E">
        <w:rPr>
          <w:lang w:val="en-GB"/>
        </w:rPr>
        <w:t xml:space="preserve">ecember </w:t>
      </w:r>
      <w:proofErr w:type="gramStart"/>
      <w:r w:rsidRPr="005C7A0E">
        <w:rPr>
          <w:lang w:val="en-GB"/>
        </w:rPr>
        <w:t>2019</w:t>
      </w:r>
      <w:r>
        <w:rPr>
          <w:lang w:val="en-GB"/>
        </w:rPr>
        <w:t>,  pp.</w:t>
      </w:r>
      <w:proofErr w:type="gramEnd"/>
      <w:r>
        <w:rPr>
          <w:lang w:val="en-GB"/>
        </w:rPr>
        <w:t xml:space="preserve"> 5-6</w:t>
      </w:r>
      <w:r w:rsidRPr="005C7A0E">
        <w:rPr>
          <w:lang w:val="en-GB"/>
        </w:rPr>
        <w:t>.</w:t>
      </w:r>
    </w:p>
  </w:footnote>
  <w:footnote w:id="19">
    <w:p w14:paraId="3AA99586" w14:textId="77777777" w:rsidR="00F819B0" w:rsidRPr="00275039" w:rsidRDefault="00F819B0" w:rsidP="00651F9B">
      <w:pPr>
        <w:pStyle w:val="Testonotaapidipagina"/>
        <w:jc w:val="both"/>
        <w:rPr>
          <w:lang w:val="en-GB"/>
        </w:rPr>
      </w:pPr>
      <w:r>
        <w:rPr>
          <w:rStyle w:val="Rimandonotaapidipagina"/>
        </w:rPr>
        <w:footnoteRef/>
      </w:r>
      <w:r w:rsidRPr="003556BB">
        <w:rPr>
          <w:lang w:val="en-GB"/>
        </w:rPr>
        <w:t xml:space="preserve"> These expressions recall the d</w:t>
      </w:r>
      <w:r>
        <w:rPr>
          <w:lang w:val="en-GB"/>
        </w:rPr>
        <w:t xml:space="preserve">ebate around “data </w:t>
      </w:r>
      <w:proofErr w:type="spellStart"/>
      <w:r>
        <w:rPr>
          <w:lang w:val="en-GB"/>
        </w:rPr>
        <w:t>propertization</w:t>
      </w:r>
      <w:proofErr w:type="spellEnd"/>
      <w:r>
        <w:rPr>
          <w:lang w:val="en-GB"/>
        </w:rPr>
        <w:t xml:space="preserve">”; on this subject, see G. </w:t>
      </w:r>
      <w:proofErr w:type="spellStart"/>
      <w:r w:rsidRPr="00797A21">
        <w:rPr>
          <w:smallCaps/>
          <w:lang w:val="en-GB"/>
        </w:rPr>
        <w:t>Frosio</w:t>
      </w:r>
      <w:proofErr w:type="spellEnd"/>
      <w:r>
        <w:rPr>
          <w:lang w:val="en-GB"/>
        </w:rPr>
        <w:t xml:space="preserve">, </w:t>
      </w:r>
      <w:r w:rsidRPr="003556BB">
        <w:rPr>
          <w:i/>
          <w:iCs/>
          <w:lang w:val="en-GB"/>
        </w:rPr>
        <w:t xml:space="preserve">Sharing or Platform Urban Mobility? </w:t>
      </w:r>
      <w:proofErr w:type="spellStart"/>
      <w:r w:rsidRPr="003556BB">
        <w:rPr>
          <w:i/>
          <w:iCs/>
          <w:lang w:val="en-GB"/>
        </w:rPr>
        <w:t>Propertization</w:t>
      </w:r>
      <w:proofErr w:type="spellEnd"/>
      <w:r w:rsidRPr="003556BB">
        <w:rPr>
          <w:i/>
          <w:iCs/>
          <w:lang w:val="en-GB"/>
        </w:rPr>
        <w:t xml:space="preserve"> from Mass to </w:t>
      </w:r>
      <w:proofErr w:type="spellStart"/>
      <w:r w:rsidRPr="003556BB">
        <w:rPr>
          <w:i/>
          <w:iCs/>
          <w:lang w:val="en-GB"/>
        </w:rPr>
        <w:t>MaaS</w:t>
      </w:r>
      <w:proofErr w:type="spellEnd"/>
      <w:r>
        <w:rPr>
          <w:lang w:val="en-GB"/>
        </w:rPr>
        <w:t xml:space="preserve">, </w:t>
      </w:r>
      <w:r w:rsidRPr="003556BB">
        <w:rPr>
          <w:lang w:val="en-GB"/>
        </w:rPr>
        <w:t xml:space="preserve">in </w:t>
      </w:r>
      <w:r w:rsidRPr="00797A21">
        <w:rPr>
          <w:smallCaps/>
          <w:lang w:val="en-GB"/>
        </w:rPr>
        <w:t xml:space="preserve">M. </w:t>
      </w:r>
      <w:proofErr w:type="spellStart"/>
      <w:r w:rsidRPr="00797A21">
        <w:rPr>
          <w:smallCaps/>
          <w:lang w:val="en-GB"/>
        </w:rPr>
        <w:t>Finck</w:t>
      </w:r>
      <w:proofErr w:type="spellEnd"/>
      <w:r w:rsidRPr="00797A21">
        <w:rPr>
          <w:smallCaps/>
          <w:lang w:val="en-GB"/>
        </w:rPr>
        <w:t xml:space="preserve">, M. Lamping, V. </w:t>
      </w:r>
      <w:proofErr w:type="spellStart"/>
      <w:r w:rsidRPr="00797A21">
        <w:rPr>
          <w:smallCaps/>
          <w:lang w:val="en-GB"/>
        </w:rPr>
        <w:t>Moscon</w:t>
      </w:r>
      <w:proofErr w:type="spellEnd"/>
      <w:r w:rsidRPr="00797A21">
        <w:rPr>
          <w:smallCaps/>
          <w:lang w:val="en-GB"/>
        </w:rPr>
        <w:t>, H. Richter</w:t>
      </w:r>
      <w:r w:rsidRPr="003556BB">
        <w:rPr>
          <w:lang w:val="en-GB"/>
        </w:rPr>
        <w:t xml:space="preserve"> </w:t>
      </w:r>
      <w:r>
        <w:rPr>
          <w:lang w:val="en-GB"/>
        </w:rPr>
        <w:t>(</w:t>
      </w:r>
      <w:r w:rsidRPr="003556BB">
        <w:rPr>
          <w:lang w:val="en-GB"/>
        </w:rPr>
        <w:t>eds.</w:t>
      </w:r>
      <w:r>
        <w:rPr>
          <w:lang w:val="en-GB"/>
        </w:rPr>
        <w:t xml:space="preserve">), </w:t>
      </w:r>
      <w:r w:rsidRPr="00797A21">
        <w:rPr>
          <w:i/>
          <w:iCs/>
          <w:lang w:val="en-GB"/>
        </w:rPr>
        <w:t>Smart Urban Mobility, Springer</w:t>
      </w:r>
      <w:r w:rsidRPr="003556BB">
        <w:rPr>
          <w:lang w:val="en-GB"/>
        </w:rPr>
        <w:t xml:space="preserve">, </w:t>
      </w:r>
      <w:r>
        <w:rPr>
          <w:lang w:val="en-GB"/>
        </w:rPr>
        <w:t>2020, f</w:t>
      </w:r>
      <w:r w:rsidRPr="003556BB">
        <w:rPr>
          <w:lang w:val="en-GB"/>
        </w:rPr>
        <w:t>orthcoming</w:t>
      </w:r>
      <w:r>
        <w:rPr>
          <w:lang w:val="en-GB"/>
        </w:rPr>
        <w:t>; J.</w:t>
      </w:r>
      <w:r w:rsidRPr="003556BB">
        <w:rPr>
          <w:lang w:val="en-GB"/>
        </w:rPr>
        <w:t xml:space="preserve"> </w:t>
      </w:r>
      <w:r w:rsidRPr="00797A21">
        <w:rPr>
          <w:smallCaps/>
          <w:lang w:val="en-GB"/>
        </w:rPr>
        <w:t>Ritter, A. Mayer,</w:t>
      </w:r>
      <w:r>
        <w:rPr>
          <w:lang w:val="en-GB"/>
        </w:rPr>
        <w:t xml:space="preserve"> </w:t>
      </w:r>
      <w:r w:rsidRPr="00A8170C">
        <w:rPr>
          <w:i/>
          <w:iCs/>
          <w:lang w:val="en-GB"/>
        </w:rPr>
        <w:t>Regulating Data as Property: A New Construct for Moving Forward</w:t>
      </w:r>
      <w:r>
        <w:rPr>
          <w:i/>
          <w:iCs/>
          <w:lang w:val="en-GB"/>
        </w:rPr>
        <w:t xml:space="preserve">, </w:t>
      </w:r>
      <w:r>
        <w:rPr>
          <w:lang w:val="en-GB"/>
        </w:rPr>
        <w:t>in</w:t>
      </w:r>
      <w:r w:rsidRPr="003556BB">
        <w:rPr>
          <w:lang w:val="en-GB"/>
        </w:rPr>
        <w:t xml:space="preserve"> </w:t>
      </w:r>
      <w:r w:rsidRPr="00797A21">
        <w:rPr>
          <w:i/>
          <w:iCs/>
          <w:lang w:val="en-GB"/>
        </w:rPr>
        <w:t>Duke L &amp; Tech Rev.</w:t>
      </w:r>
      <w:r>
        <w:rPr>
          <w:lang w:val="en-GB"/>
        </w:rPr>
        <w:t xml:space="preserve"> 2018, Vol. 16, p. 226 ff.; F</w:t>
      </w:r>
      <w:r w:rsidRPr="00797A21">
        <w:rPr>
          <w:smallCaps/>
          <w:lang w:val="en-GB"/>
        </w:rPr>
        <w:t>. Banterle</w:t>
      </w:r>
      <w:r>
        <w:rPr>
          <w:lang w:val="en-GB"/>
        </w:rPr>
        <w:t xml:space="preserve">, </w:t>
      </w:r>
      <w:r w:rsidRPr="000F564B">
        <w:rPr>
          <w:i/>
          <w:iCs/>
          <w:lang w:val="en-GB"/>
        </w:rPr>
        <w:t>Data Ownership in the Data Economy: A European Dilemma</w:t>
      </w:r>
      <w:r>
        <w:rPr>
          <w:i/>
          <w:iCs/>
          <w:lang w:val="en-GB"/>
        </w:rPr>
        <w:t>,</w:t>
      </w:r>
      <w:r>
        <w:rPr>
          <w:lang w:val="en-GB"/>
        </w:rPr>
        <w:t xml:space="preserve"> in </w:t>
      </w:r>
      <w:r w:rsidRPr="00797A21">
        <w:rPr>
          <w:smallCaps/>
          <w:lang w:val="en-GB"/>
        </w:rPr>
        <w:t xml:space="preserve">T. </w:t>
      </w:r>
      <w:proofErr w:type="spellStart"/>
      <w:r w:rsidRPr="00797A21">
        <w:rPr>
          <w:smallCaps/>
          <w:lang w:val="en-GB"/>
        </w:rPr>
        <w:t>Synodinou</w:t>
      </w:r>
      <w:proofErr w:type="spellEnd"/>
      <w:r w:rsidRPr="00797A21">
        <w:rPr>
          <w:smallCaps/>
          <w:lang w:val="en-GB"/>
        </w:rPr>
        <w:t xml:space="preserve">, P. </w:t>
      </w:r>
      <w:proofErr w:type="spellStart"/>
      <w:r w:rsidRPr="00797A21">
        <w:rPr>
          <w:smallCaps/>
          <w:lang w:val="en-GB"/>
        </w:rPr>
        <w:t>Jougleux</w:t>
      </w:r>
      <w:proofErr w:type="spellEnd"/>
      <w:r w:rsidRPr="00797A21">
        <w:rPr>
          <w:smallCaps/>
          <w:lang w:val="en-GB"/>
        </w:rPr>
        <w:t xml:space="preserve">, C. </w:t>
      </w:r>
      <w:proofErr w:type="spellStart"/>
      <w:r w:rsidRPr="00797A21">
        <w:rPr>
          <w:smallCaps/>
          <w:lang w:val="en-GB"/>
        </w:rPr>
        <w:t>Markou</w:t>
      </w:r>
      <w:proofErr w:type="spellEnd"/>
      <w:r w:rsidRPr="00797A21">
        <w:rPr>
          <w:smallCaps/>
          <w:lang w:val="en-GB"/>
        </w:rPr>
        <w:t xml:space="preserve">, T. </w:t>
      </w:r>
      <w:proofErr w:type="spellStart"/>
      <w:r w:rsidRPr="00797A21">
        <w:rPr>
          <w:smallCaps/>
          <w:lang w:val="en-GB"/>
        </w:rPr>
        <w:t>Prastitou</w:t>
      </w:r>
      <w:proofErr w:type="spellEnd"/>
      <w:r w:rsidRPr="000F564B">
        <w:rPr>
          <w:lang w:val="en-GB"/>
        </w:rPr>
        <w:t xml:space="preserve"> (</w:t>
      </w:r>
      <w:r>
        <w:rPr>
          <w:lang w:val="en-GB"/>
        </w:rPr>
        <w:t>eds.</w:t>
      </w:r>
      <w:r w:rsidRPr="000F564B">
        <w:rPr>
          <w:lang w:val="en-GB"/>
        </w:rPr>
        <w:t xml:space="preserve">), </w:t>
      </w:r>
      <w:r w:rsidRPr="000F564B">
        <w:rPr>
          <w:i/>
          <w:iCs/>
          <w:lang w:val="en-GB"/>
        </w:rPr>
        <w:t>E</w:t>
      </w:r>
      <w:r>
        <w:rPr>
          <w:i/>
          <w:iCs/>
          <w:lang w:val="en-GB"/>
        </w:rPr>
        <w:t>U</w:t>
      </w:r>
      <w:r w:rsidRPr="000F564B">
        <w:rPr>
          <w:i/>
          <w:iCs/>
          <w:lang w:val="en-GB"/>
        </w:rPr>
        <w:t xml:space="preserve"> Internet Law in the Digital Era</w:t>
      </w:r>
      <w:r>
        <w:rPr>
          <w:lang w:val="en-GB"/>
        </w:rPr>
        <w:t xml:space="preserve">, Springer, </w:t>
      </w:r>
      <w:r w:rsidRPr="00275039">
        <w:rPr>
          <w:lang w:val="en-GB"/>
        </w:rPr>
        <w:t xml:space="preserve">2019, p. 199 </w:t>
      </w:r>
      <w:proofErr w:type="gramStart"/>
      <w:r w:rsidRPr="00275039">
        <w:rPr>
          <w:lang w:val="en-GB"/>
        </w:rPr>
        <w:t>ff..</w:t>
      </w:r>
      <w:proofErr w:type="gramEnd"/>
    </w:p>
  </w:footnote>
  <w:footnote w:id="20">
    <w:p w14:paraId="16DA11EB" w14:textId="77777777" w:rsidR="00F819B0" w:rsidRPr="00620C04" w:rsidRDefault="00F819B0" w:rsidP="00651F9B">
      <w:pPr>
        <w:pStyle w:val="Testonotaapidipagina"/>
      </w:pPr>
      <w:r>
        <w:rPr>
          <w:rStyle w:val="Rimandonotaapidipagina"/>
        </w:rPr>
        <w:footnoteRef/>
      </w:r>
      <w:r w:rsidRPr="00620C04">
        <w:t xml:space="preserve"> A. </w:t>
      </w:r>
      <w:r w:rsidRPr="00797A21">
        <w:rPr>
          <w:smallCaps/>
        </w:rPr>
        <w:t>Ottolia,</w:t>
      </w:r>
      <w:r w:rsidRPr="00620C04">
        <w:t xml:space="preserve"> </w:t>
      </w:r>
      <w:r w:rsidRPr="00620C04">
        <w:rPr>
          <w:i/>
          <w:iCs/>
        </w:rPr>
        <w:t>Big data e innovazione computazionale</w:t>
      </w:r>
      <w:r>
        <w:t xml:space="preserve">, Giappichelli, 2017, p. 33. </w:t>
      </w:r>
    </w:p>
  </w:footnote>
  <w:footnote w:id="21">
    <w:p w14:paraId="46EE2EDA" w14:textId="77777777" w:rsidR="00F819B0" w:rsidRPr="00797A21" w:rsidRDefault="00F819B0" w:rsidP="00651F9B">
      <w:pPr>
        <w:pStyle w:val="Testonotaapidipagina"/>
        <w:rPr>
          <w:lang w:val="en-GB"/>
        </w:rPr>
      </w:pPr>
      <w:r>
        <w:rPr>
          <w:rStyle w:val="Rimandonotaapidipagina"/>
        </w:rPr>
        <w:footnoteRef/>
      </w:r>
      <w:r w:rsidRPr="00797A21">
        <w:rPr>
          <w:lang w:val="en-GB"/>
        </w:rPr>
        <w:t xml:space="preserve"> As stated in </w:t>
      </w:r>
      <w:r>
        <w:rPr>
          <w:lang w:val="en-GB"/>
        </w:rPr>
        <w:t>A</w:t>
      </w:r>
      <w:r w:rsidRPr="00797A21">
        <w:rPr>
          <w:lang w:val="en-GB"/>
        </w:rPr>
        <w:t xml:space="preserve">rt. 7.1 </w:t>
      </w:r>
      <w:r>
        <w:rPr>
          <w:lang w:val="en-GB"/>
        </w:rPr>
        <w:t xml:space="preserve">of </w:t>
      </w:r>
      <w:r w:rsidRPr="00797A21">
        <w:rPr>
          <w:lang w:val="en-GB"/>
        </w:rPr>
        <w:t>Directive 96/9.</w:t>
      </w:r>
    </w:p>
  </w:footnote>
  <w:footnote w:id="22">
    <w:p w14:paraId="3A8829CD" w14:textId="77777777" w:rsidR="00F819B0" w:rsidRDefault="00F819B0" w:rsidP="00651F9B">
      <w:pPr>
        <w:pStyle w:val="Testonotaapidipagina"/>
        <w:jc w:val="both"/>
      </w:pPr>
      <w:r>
        <w:rPr>
          <w:rStyle w:val="Rimandonotaapidipagina"/>
        </w:rPr>
        <w:footnoteRef/>
      </w:r>
      <w:r>
        <w:t xml:space="preserve"> A. </w:t>
      </w:r>
      <w:r w:rsidRPr="00797A21">
        <w:rPr>
          <w:smallCaps/>
        </w:rPr>
        <w:t>Ottolia,</w:t>
      </w:r>
      <w:r>
        <w:t xml:space="preserve"> </w:t>
      </w:r>
      <w:r w:rsidRPr="00F20D81">
        <w:rPr>
          <w:i/>
          <w:iCs/>
        </w:rPr>
        <w:t>L'utilizzo computazionale dell'opera dell'ingegno in internet</w:t>
      </w:r>
      <w:r w:rsidRPr="00F20D81">
        <w:t>, in</w:t>
      </w:r>
      <w:r w:rsidRPr="00F20D81">
        <w:rPr>
          <w:i/>
          <w:iCs/>
        </w:rPr>
        <w:t xml:space="preserve"> AIDA</w:t>
      </w:r>
      <w:r w:rsidRPr="00F20D81">
        <w:t xml:space="preserve"> 2014, </w:t>
      </w:r>
      <w:r>
        <w:t xml:space="preserve">p. </w:t>
      </w:r>
      <w:r w:rsidRPr="00F20D81">
        <w:t xml:space="preserve">386 </w:t>
      </w:r>
      <w:proofErr w:type="spellStart"/>
      <w:r w:rsidRPr="00F20D81">
        <w:t>ff</w:t>
      </w:r>
      <w:proofErr w:type="spellEnd"/>
      <w:r>
        <w:t>.</w:t>
      </w:r>
    </w:p>
  </w:footnote>
  <w:footnote w:id="23">
    <w:p w14:paraId="14B877B0" w14:textId="77777777" w:rsidR="00F819B0" w:rsidRPr="0002784F" w:rsidRDefault="00F819B0" w:rsidP="00651F9B">
      <w:pPr>
        <w:pStyle w:val="Testonotaapidipagina"/>
        <w:jc w:val="both"/>
        <w:rPr>
          <w:lang w:val="en-GB"/>
        </w:rPr>
      </w:pPr>
      <w:r>
        <w:rPr>
          <w:rStyle w:val="Rimandonotaapidipagina"/>
        </w:rPr>
        <w:footnoteRef/>
      </w:r>
      <w:r w:rsidRPr="0002784F">
        <w:rPr>
          <w:lang w:val="en-GB"/>
        </w:rPr>
        <w:t xml:space="preserve"> </w:t>
      </w:r>
      <w:r>
        <w:rPr>
          <w:lang w:val="en-GB"/>
        </w:rPr>
        <w:t xml:space="preserve">The DSM Directive, under Recital 9, expressly states </w:t>
      </w:r>
      <w:r w:rsidRPr="0002784F">
        <w:rPr>
          <w:lang w:val="en-GB"/>
        </w:rPr>
        <w:t>that TDM carried out “in relation to mere facts or data that are not protected by copyright” does not require authori</w:t>
      </w:r>
      <w:r>
        <w:rPr>
          <w:lang w:val="en-GB"/>
        </w:rPr>
        <w:t>z</w:t>
      </w:r>
      <w:r w:rsidRPr="0002784F">
        <w:rPr>
          <w:lang w:val="en-GB"/>
        </w:rPr>
        <w:t>ation “under copyright law”.</w:t>
      </w:r>
    </w:p>
  </w:footnote>
  <w:footnote w:id="24">
    <w:p w14:paraId="03D46917" w14:textId="77777777" w:rsidR="00F819B0" w:rsidRPr="00BB2D9A" w:rsidRDefault="00F819B0" w:rsidP="00651F9B">
      <w:pPr>
        <w:pStyle w:val="Testonotaapidipagina"/>
        <w:jc w:val="both"/>
        <w:rPr>
          <w:lang w:val="en-GB"/>
        </w:rPr>
      </w:pPr>
      <w:r w:rsidRPr="001C6F1E">
        <w:rPr>
          <w:rStyle w:val="Rimandonotaapidipagina"/>
        </w:rPr>
        <w:footnoteRef/>
      </w:r>
      <w:r w:rsidRPr="001C6F1E">
        <w:rPr>
          <w:lang w:val="en-GB"/>
        </w:rPr>
        <w:t xml:space="preserve"> CJEU, case C</w:t>
      </w:r>
      <w:r w:rsidRPr="001C6F1E">
        <w:rPr>
          <w:rFonts w:ascii="Cambria Math" w:hAnsi="Cambria Math" w:cs="Cambria Math"/>
          <w:lang w:val="en-GB"/>
        </w:rPr>
        <w:t>‑</w:t>
      </w:r>
      <w:r w:rsidRPr="001C6F1E">
        <w:rPr>
          <w:lang w:val="en-GB"/>
        </w:rPr>
        <w:t xml:space="preserve">30/14, Ryanair Ltd v. PR Aviation BV, </w:t>
      </w:r>
      <w:r>
        <w:rPr>
          <w:lang w:val="en-GB"/>
        </w:rPr>
        <w:t xml:space="preserve">15 </w:t>
      </w:r>
      <w:r w:rsidRPr="001C6F1E">
        <w:rPr>
          <w:lang w:val="en-GB"/>
        </w:rPr>
        <w:t xml:space="preserve">January 2015. For comments on the impact of this decision see </w:t>
      </w:r>
      <w:r w:rsidRPr="00275039">
        <w:rPr>
          <w:smallCaps/>
          <w:lang w:val="en-GB"/>
        </w:rPr>
        <w:t>European Commission</w:t>
      </w:r>
      <w:r w:rsidRPr="001C6F1E">
        <w:rPr>
          <w:lang w:val="en-GB"/>
        </w:rPr>
        <w:t xml:space="preserve">, </w:t>
      </w:r>
      <w:r w:rsidRPr="001C6F1E">
        <w:rPr>
          <w:i/>
          <w:iCs/>
          <w:lang w:val="en-GB"/>
        </w:rPr>
        <w:t>Study in support of the evaluation of Directive 96/9/EC on the legal protection of databases</w:t>
      </w:r>
      <w:r w:rsidRPr="001C6F1E">
        <w:rPr>
          <w:lang w:val="en-GB"/>
        </w:rPr>
        <w:t>, 2018, p. 23 ff.</w:t>
      </w:r>
    </w:p>
  </w:footnote>
  <w:footnote w:id="25">
    <w:p w14:paraId="06D05C25" w14:textId="77777777" w:rsidR="00F819B0" w:rsidRDefault="00F819B0" w:rsidP="00651F9B">
      <w:pPr>
        <w:pStyle w:val="Testonotaapidipagina"/>
      </w:pPr>
      <w:r>
        <w:rPr>
          <w:rStyle w:val="Rimandonotaapidipagina"/>
        </w:rPr>
        <w:footnoteRef/>
      </w:r>
      <w:r>
        <w:t xml:space="preserve"> </w:t>
      </w:r>
      <w:r w:rsidRPr="00382EDC">
        <w:t xml:space="preserve">A. </w:t>
      </w:r>
      <w:r w:rsidRPr="00797A21">
        <w:rPr>
          <w:smallCaps/>
        </w:rPr>
        <w:t>Ottolia</w:t>
      </w:r>
      <w:r w:rsidRPr="00382EDC">
        <w:t xml:space="preserve">, </w:t>
      </w:r>
      <w:r w:rsidRPr="00382EDC">
        <w:rPr>
          <w:i/>
          <w:iCs/>
        </w:rPr>
        <w:t>L'utilizzo computazionale dell'opera dell'ingegno in internet</w:t>
      </w:r>
      <w:r w:rsidRPr="00382EDC">
        <w:t xml:space="preserve">, </w:t>
      </w:r>
      <w:proofErr w:type="spellStart"/>
      <w:r>
        <w:t>supra</w:t>
      </w:r>
      <w:proofErr w:type="spellEnd"/>
      <w:r>
        <w:t xml:space="preserve"> </w:t>
      </w:r>
      <w:proofErr w:type="spellStart"/>
      <w:r>
        <w:t>at</w:t>
      </w:r>
      <w:proofErr w:type="spellEnd"/>
      <w:r>
        <w:t xml:space="preserve"> note 22</w:t>
      </w:r>
      <w:r w:rsidRPr="00382EDC">
        <w:t xml:space="preserve">, </w:t>
      </w:r>
      <w:r>
        <w:t xml:space="preserve">p. </w:t>
      </w:r>
      <w:r w:rsidRPr="00382EDC">
        <w:t>38</w:t>
      </w:r>
      <w:r>
        <w:t>8</w:t>
      </w:r>
      <w:r w:rsidRPr="00382EDC">
        <w:t>.</w:t>
      </w:r>
    </w:p>
  </w:footnote>
  <w:footnote w:id="26">
    <w:p w14:paraId="026BA12E" w14:textId="77777777" w:rsidR="00F819B0" w:rsidRPr="00AE695F" w:rsidRDefault="00F819B0" w:rsidP="00651F9B">
      <w:pPr>
        <w:pStyle w:val="Testonotaapidipagina"/>
        <w:rPr>
          <w:lang w:val="en-GB"/>
        </w:rPr>
      </w:pPr>
      <w:r>
        <w:rPr>
          <w:rStyle w:val="Rimandonotaapidipagina"/>
        </w:rPr>
        <w:footnoteRef/>
      </w:r>
      <w:r w:rsidRPr="00AE695F">
        <w:rPr>
          <w:lang w:val="en-GB"/>
        </w:rPr>
        <w:t xml:space="preserve"> </w:t>
      </w:r>
      <w:r>
        <w:rPr>
          <w:lang w:val="en-GB"/>
        </w:rPr>
        <w:t xml:space="preserve">See Recital 33 of the </w:t>
      </w:r>
      <w:proofErr w:type="spellStart"/>
      <w:r>
        <w:rPr>
          <w:lang w:val="en-GB"/>
        </w:rPr>
        <w:t>Infosoc</w:t>
      </w:r>
      <w:proofErr w:type="spellEnd"/>
      <w:r>
        <w:rPr>
          <w:lang w:val="en-GB"/>
        </w:rPr>
        <w:t xml:space="preserve"> Directive. </w:t>
      </w:r>
    </w:p>
  </w:footnote>
  <w:footnote w:id="27">
    <w:p w14:paraId="76131BDA"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sidRPr="00744423">
        <w:rPr>
          <w:smallCaps/>
          <w:lang w:val="en-GB"/>
        </w:rPr>
        <w:t xml:space="preserve">M. </w:t>
      </w:r>
      <w:proofErr w:type="spellStart"/>
      <w:r>
        <w:rPr>
          <w:smallCaps/>
          <w:lang w:val="en-GB"/>
        </w:rPr>
        <w:t>Caspers</w:t>
      </w:r>
      <w:proofErr w:type="spellEnd"/>
      <w:r w:rsidRPr="00744423">
        <w:rPr>
          <w:smallCaps/>
          <w:lang w:val="en-GB"/>
        </w:rPr>
        <w:t xml:space="preserve">, L. </w:t>
      </w:r>
      <w:proofErr w:type="spellStart"/>
      <w:r w:rsidRPr="00744423">
        <w:rPr>
          <w:smallCaps/>
          <w:lang w:val="en-GB"/>
        </w:rPr>
        <w:t>G</w:t>
      </w:r>
      <w:r>
        <w:rPr>
          <w:smallCaps/>
          <w:lang w:val="en-GB"/>
        </w:rPr>
        <w:t>uibault</w:t>
      </w:r>
      <w:proofErr w:type="spellEnd"/>
      <w:r>
        <w:rPr>
          <w:smallCaps/>
          <w:lang w:val="en-GB"/>
        </w:rPr>
        <w:t xml:space="preserve"> et Al.</w:t>
      </w:r>
      <w:r w:rsidRPr="00744423">
        <w:rPr>
          <w:smallCaps/>
          <w:lang w:val="en-GB"/>
        </w:rPr>
        <w:t>,</w:t>
      </w:r>
      <w:r w:rsidRPr="0090149D">
        <w:rPr>
          <w:lang w:val="en-GB"/>
        </w:rPr>
        <w:t xml:space="preserve"> </w:t>
      </w:r>
      <w:r w:rsidRPr="0090149D">
        <w:rPr>
          <w:i/>
          <w:iCs/>
          <w:lang w:val="en-GB"/>
        </w:rPr>
        <w:t>Baseline report of policies and barriers of TDM in Europe</w:t>
      </w:r>
      <w:r w:rsidRPr="0090149D">
        <w:rPr>
          <w:lang w:val="en-GB"/>
        </w:rPr>
        <w:t>, 2016, p</w:t>
      </w:r>
      <w:r>
        <w:rPr>
          <w:lang w:val="en-GB"/>
        </w:rPr>
        <w:t>.</w:t>
      </w:r>
      <w:r w:rsidRPr="0090149D">
        <w:rPr>
          <w:lang w:val="en-GB"/>
        </w:rPr>
        <w:t xml:space="preserve"> 23.</w:t>
      </w:r>
    </w:p>
  </w:footnote>
  <w:footnote w:id="28">
    <w:p w14:paraId="5620789A"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Pr>
          <w:lang w:val="en-GB"/>
        </w:rPr>
        <w:t xml:space="preserve">CJEU, case C-302/10, </w:t>
      </w:r>
      <w:proofErr w:type="spellStart"/>
      <w:r w:rsidRPr="001F7050">
        <w:rPr>
          <w:lang w:val="en-GB"/>
        </w:rPr>
        <w:t>Infopaq</w:t>
      </w:r>
      <w:proofErr w:type="spellEnd"/>
      <w:r w:rsidRPr="001F7050">
        <w:rPr>
          <w:lang w:val="en-GB"/>
        </w:rPr>
        <w:t xml:space="preserve"> International A/S</w:t>
      </w:r>
      <w:r>
        <w:rPr>
          <w:lang w:val="en-GB"/>
        </w:rPr>
        <w:t xml:space="preserve"> v. </w:t>
      </w:r>
      <w:r w:rsidRPr="001F7050">
        <w:rPr>
          <w:lang w:val="en-GB"/>
        </w:rPr>
        <w:t xml:space="preserve">Danske </w:t>
      </w:r>
      <w:proofErr w:type="spellStart"/>
      <w:r w:rsidRPr="001F7050">
        <w:rPr>
          <w:lang w:val="en-GB"/>
        </w:rPr>
        <w:t>Dagblades</w:t>
      </w:r>
      <w:proofErr w:type="spellEnd"/>
      <w:r w:rsidRPr="001F7050">
        <w:rPr>
          <w:lang w:val="en-GB"/>
        </w:rPr>
        <w:t xml:space="preserve"> </w:t>
      </w:r>
      <w:proofErr w:type="spellStart"/>
      <w:r w:rsidRPr="001F7050">
        <w:rPr>
          <w:lang w:val="en-GB"/>
        </w:rPr>
        <w:t>Forening</w:t>
      </w:r>
      <w:proofErr w:type="spellEnd"/>
      <w:r w:rsidRPr="001F7050">
        <w:rPr>
          <w:lang w:val="en-GB"/>
        </w:rPr>
        <w:t>,</w:t>
      </w:r>
      <w:r>
        <w:rPr>
          <w:lang w:val="en-GB"/>
        </w:rPr>
        <w:t xml:space="preserve"> 17 </w:t>
      </w:r>
      <w:r w:rsidRPr="007F18FD">
        <w:rPr>
          <w:lang w:val="en-GB"/>
        </w:rPr>
        <w:t>January</w:t>
      </w:r>
      <w:r>
        <w:rPr>
          <w:lang w:val="en-GB"/>
        </w:rPr>
        <w:t xml:space="preserve"> </w:t>
      </w:r>
      <w:r w:rsidRPr="007F18FD">
        <w:rPr>
          <w:lang w:val="en-GB"/>
        </w:rPr>
        <w:t>2012</w:t>
      </w:r>
      <w:r>
        <w:rPr>
          <w:lang w:val="en-GB"/>
        </w:rPr>
        <w:t>, § 26.</w:t>
      </w:r>
    </w:p>
  </w:footnote>
  <w:footnote w:id="29">
    <w:p w14:paraId="36BF86D6" w14:textId="77777777" w:rsidR="00F819B0" w:rsidRPr="00E24420" w:rsidRDefault="00F819B0" w:rsidP="00651F9B">
      <w:pPr>
        <w:pStyle w:val="Testonotaapidipagina"/>
        <w:jc w:val="both"/>
        <w:rPr>
          <w:lang w:val="en-GB"/>
        </w:rPr>
      </w:pPr>
      <w:r>
        <w:rPr>
          <w:rStyle w:val="Rimandonotaapidipagina"/>
        </w:rPr>
        <w:footnoteRef/>
      </w:r>
      <w:r w:rsidRPr="00E24420">
        <w:rPr>
          <w:lang w:val="en-GB"/>
        </w:rPr>
        <w:t xml:space="preserve"> </w:t>
      </w:r>
      <w:r>
        <w:rPr>
          <w:lang w:val="en-GB"/>
        </w:rPr>
        <w:t xml:space="preserve">CJEU, case C-5/08, </w:t>
      </w:r>
      <w:proofErr w:type="spellStart"/>
      <w:r w:rsidRPr="003A7B93">
        <w:rPr>
          <w:lang w:val="en-GB"/>
        </w:rPr>
        <w:t>Infopaq</w:t>
      </w:r>
      <w:proofErr w:type="spellEnd"/>
      <w:r w:rsidRPr="003A7B93">
        <w:rPr>
          <w:lang w:val="en-GB"/>
        </w:rPr>
        <w:t xml:space="preserve"> International A/S</w:t>
      </w:r>
      <w:r>
        <w:rPr>
          <w:lang w:val="en-GB"/>
        </w:rPr>
        <w:t xml:space="preserve"> v. </w:t>
      </w:r>
      <w:r w:rsidRPr="003A7B93">
        <w:rPr>
          <w:lang w:val="en-GB"/>
        </w:rPr>
        <w:t xml:space="preserve">Danske </w:t>
      </w:r>
      <w:proofErr w:type="spellStart"/>
      <w:r w:rsidRPr="003A7B93">
        <w:rPr>
          <w:lang w:val="en-GB"/>
        </w:rPr>
        <w:t>Dagblades</w:t>
      </w:r>
      <w:proofErr w:type="spellEnd"/>
      <w:r w:rsidRPr="003A7B93">
        <w:rPr>
          <w:lang w:val="en-GB"/>
        </w:rPr>
        <w:t xml:space="preserve"> </w:t>
      </w:r>
      <w:proofErr w:type="spellStart"/>
      <w:r w:rsidRPr="003A7B93">
        <w:rPr>
          <w:lang w:val="en-GB"/>
        </w:rPr>
        <w:t>Forening</w:t>
      </w:r>
      <w:proofErr w:type="spellEnd"/>
      <w:r w:rsidRPr="003A7B93">
        <w:rPr>
          <w:lang w:val="en-GB"/>
        </w:rPr>
        <w:t>,</w:t>
      </w:r>
      <w:r>
        <w:rPr>
          <w:lang w:val="en-GB"/>
        </w:rPr>
        <w:t xml:space="preserve"> 16 July 2009, § 56, 57; c</w:t>
      </w:r>
      <w:r w:rsidRPr="004F6513">
        <w:rPr>
          <w:lang w:val="en-GB"/>
        </w:rPr>
        <w:t>ase C</w:t>
      </w:r>
      <w:r w:rsidRPr="004F6513">
        <w:rPr>
          <w:rFonts w:ascii="Cambria Math" w:hAnsi="Cambria Math" w:cs="Cambria Math"/>
          <w:lang w:val="en-GB"/>
        </w:rPr>
        <w:t>‑</w:t>
      </w:r>
      <w:r w:rsidRPr="004F6513">
        <w:rPr>
          <w:lang w:val="en-GB"/>
        </w:rPr>
        <w:t>360/13,</w:t>
      </w:r>
      <w:r>
        <w:rPr>
          <w:lang w:val="en-GB"/>
        </w:rPr>
        <w:t xml:space="preserve"> </w:t>
      </w:r>
      <w:r w:rsidRPr="004F6513">
        <w:rPr>
          <w:lang w:val="en-GB"/>
        </w:rPr>
        <w:t>Public Relations Consultants Association v</w:t>
      </w:r>
      <w:r>
        <w:rPr>
          <w:lang w:val="en-GB"/>
        </w:rPr>
        <w:t xml:space="preserve">. </w:t>
      </w:r>
      <w:r w:rsidRPr="004F6513">
        <w:rPr>
          <w:lang w:val="en-GB"/>
        </w:rPr>
        <w:t>Newspaper Licensing Agency,</w:t>
      </w:r>
      <w:r>
        <w:rPr>
          <w:lang w:val="en-GB"/>
        </w:rPr>
        <w:t xml:space="preserve"> 5 June 2014, § 23; and cases </w:t>
      </w:r>
      <w:r w:rsidRPr="00B63374">
        <w:rPr>
          <w:lang w:val="en-GB"/>
        </w:rPr>
        <w:t>C</w:t>
      </w:r>
      <w:r w:rsidRPr="00B63374">
        <w:rPr>
          <w:rFonts w:ascii="Cambria Math" w:hAnsi="Cambria Math" w:cs="Cambria Math"/>
          <w:lang w:val="en-GB"/>
        </w:rPr>
        <w:t>‑</w:t>
      </w:r>
      <w:r w:rsidRPr="00B63374">
        <w:rPr>
          <w:lang w:val="en-GB"/>
        </w:rPr>
        <w:t xml:space="preserve">403/08 </w:t>
      </w:r>
      <w:r>
        <w:rPr>
          <w:lang w:val="en-GB"/>
        </w:rPr>
        <w:t xml:space="preserve">and </w:t>
      </w:r>
      <w:r w:rsidRPr="00B63374">
        <w:rPr>
          <w:lang w:val="en-GB"/>
        </w:rPr>
        <w:t>C</w:t>
      </w:r>
      <w:r w:rsidRPr="00B63374">
        <w:rPr>
          <w:rFonts w:ascii="Cambria Math" w:hAnsi="Cambria Math" w:cs="Cambria Math"/>
          <w:lang w:val="en-GB"/>
        </w:rPr>
        <w:t>‑</w:t>
      </w:r>
      <w:r w:rsidRPr="00B63374">
        <w:rPr>
          <w:lang w:val="en-GB"/>
        </w:rPr>
        <w:t>429/08</w:t>
      </w:r>
      <w:r>
        <w:rPr>
          <w:lang w:val="en-GB"/>
        </w:rPr>
        <w:t xml:space="preserve">, </w:t>
      </w:r>
      <w:r w:rsidRPr="00B63374">
        <w:rPr>
          <w:lang w:val="en-GB"/>
        </w:rPr>
        <w:t xml:space="preserve">Football Association Premier League </w:t>
      </w:r>
      <w:r w:rsidRPr="002A14DC">
        <w:rPr>
          <w:lang w:val="en-GB"/>
        </w:rPr>
        <w:t>e a</w:t>
      </w:r>
      <w:r w:rsidRPr="00B63374">
        <w:rPr>
          <w:lang w:val="en-GB"/>
        </w:rPr>
        <w:t>,</w:t>
      </w:r>
      <w:r>
        <w:rPr>
          <w:lang w:val="en-GB"/>
        </w:rPr>
        <w:t xml:space="preserve"> 4 October 2011,</w:t>
      </w:r>
      <w:r w:rsidRPr="00B63374">
        <w:rPr>
          <w:lang w:val="en-GB"/>
        </w:rPr>
        <w:t xml:space="preserve"> </w:t>
      </w:r>
      <w:r>
        <w:rPr>
          <w:lang w:val="en-GB"/>
        </w:rPr>
        <w:t xml:space="preserve">§ </w:t>
      </w:r>
      <w:r w:rsidRPr="00B63374">
        <w:rPr>
          <w:lang w:val="en-GB"/>
        </w:rPr>
        <w:t>162</w:t>
      </w:r>
      <w:r>
        <w:rPr>
          <w:lang w:val="en-GB"/>
        </w:rPr>
        <w:t>.</w:t>
      </w:r>
    </w:p>
  </w:footnote>
  <w:footnote w:id="30">
    <w:p w14:paraId="6CA47FE1"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Pr>
          <w:lang w:val="en-GB"/>
        </w:rPr>
        <w:t>CJEU, case C-5/08, supra at note 29</w:t>
      </w:r>
      <w:r w:rsidRPr="003A7B93">
        <w:rPr>
          <w:lang w:val="en-GB"/>
        </w:rPr>
        <w:t>,</w:t>
      </w:r>
      <w:r>
        <w:rPr>
          <w:lang w:val="en-GB"/>
        </w:rPr>
        <w:t xml:space="preserve"> §</w:t>
      </w:r>
      <w:r w:rsidRPr="000F2428">
        <w:rPr>
          <w:lang w:val="en-GB"/>
        </w:rPr>
        <w:t xml:space="preserve"> 64.</w:t>
      </w:r>
    </w:p>
  </w:footnote>
  <w:footnote w:id="31">
    <w:p w14:paraId="7DCAC728"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sidRPr="00C878E7">
        <w:rPr>
          <w:lang w:val="en-GB"/>
        </w:rPr>
        <w:t xml:space="preserve">J.P. </w:t>
      </w:r>
      <w:proofErr w:type="spellStart"/>
      <w:r w:rsidRPr="006A3B73">
        <w:rPr>
          <w:smallCaps/>
          <w:lang w:val="en-GB"/>
        </w:rPr>
        <w:t>Triaille</w:t>
      </w:r>
      <w:proofErr w:type="spellEnd"/>
      <w:r w:rsidRPr="006A3B73">
        <w:rPr>
          <w:smallCaps/>
          <w:lang w:val="en-GB"/>
        </w:rPr>
        <w:t xml:space="preserve">, J. de </w:t>
      </w:r>
      <w:proofErr w:type="spellStart"/>
      <w:r w:rsidRPr="006A3B73">
        <w:rPr>
          <w:smallCaps/>
          <w:lang w:val="en-GB"/>
        </w:rPr>
        <w:t>Meeûs</w:t>
      </w:r>
      <w:proofErr w:type="spellEnd"/>
      <w:r w:rsidRPr="006A3B73">
        <w:rPr>
          <w:smallCaps/>
          <w:lang w:val="en-GB"/>
        </w:rPr>
        <w:t xml:space="preserve"> </w:t>
      </w:r>
      <w:proofErr w:type="spellStart"/>
      <w:r w:rsidRPr="006A3B73">
        <w:rPr>
          <w:smallCaps/>
          <w:lang w:val="en-GB"/>
        </w:rPr>
        <w:t>d’Argenteuil</w:t>
      </w:r>
      <w:proofErr w:type="spellEnd"/>
      <w:r w:rsidRPr="006A3B73">
        <w:rPr>
          <w:smallCaps/>
          <w:lang w:val="en-GB"/>
        </w:rPr>
        <w:t xml:space="preserve">, A. </w:t>
      </w:r>
      <w:proofErr w:type="spellStart"/>
      <w:r w:rsidRPr="006A3B73">
        <w:rPr>
          <w:smallCaps/>
          <w:lang w:val="en-GB"/>
        </w:rPr>
        <w:t>Francquen</w:t>
      </w:r>
      <w:proofErr w:type="spellEnd"/>
      <w:r w:rsidRPr="00C878E7">
        <w:rPr>
          <w:lang w:val="en-GB"/>
        </w:rPr>
        <w:t xml:space="preserve">, </w:t>
      </w:r>
      <w:r w:rsidRPr="00AE695F">
        <w:rPr>
          <w:i/>
          <w:iCs/>
          <w:lang w:val="en-GB"/>
        </w:rPr>
        <w:t>Study on the legal framework of text and data mining (TDM)</w:t>
      </w:r>
      <w:r w:rsidRPr="00C878E7">
        <w:rPr>
          <w:lang w:val="en-GB"/>
        </w:rPr>
        <w:t xml:space="preserve">, </w:t>
      </w:r>
      <w:r>
        <w:rPr>
          <w:lang w:val="en-GB"/>
        </w:rPr>
        <w:t xml:space="preserve">De Wolf &amp; Partners, </w:t>
      </w:r>
      <w:r w:rsidRPr="00C878E7">
        <w:rPr>
          <w:lang w:val="en-GB"/>
        </w:rPr>
        <w:t xml:space="preserve">2014, </w:t>
      </w:r>
      <w:r>
        <w:rPr>
          <w:lang w:val="en-GB"/>
        </w:rPr>
        <w:t>p. 43.</w:t>
      </w:r>
    </w:p>
  </w:footnote>
  <w:footnote w:id="32">
    <w:p w14:paraId="67474370"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sidRPr="00C878E7">
        <w:rPr>
          <w:lang w:val="en-GB"/>
        </w:rPr>
        <w:t xml:space="preserve">J.P. </w:t>
      </w:r>
      <w:proofErr w:type="spellStart"/>
      <w:r w:rsidRPr="006A3B73">
        <w:rPr>
          <w:smallCaps/>
          <w:lang w:val="en-GB"/>
        </w:rPr>
        <w:t>Triaille</w:t>
      </w:r>
      <w:proofErr w:type="spellEnd"/>
      <w:r w:rsidRPr="006A3B73">
        <w:rPr>
          <w:smallCaps/>
          <w:lang w:val="en-GB"/>
        </w:rPr>
        <w:t xml:space="preserve">, J. de </w:t>
      </w:r>
      <w:proofErr w:type="spellStart"/>
      <w:r w:rsidRPr="006A3B73">
        <w:rPr>
          <w:smallCaps/>
          <w:lang w:val="en-GB"/>
        </w:rPr>
        <w:t>Meeûs</w:t>
      </w:r>
      <w:proofErr w:type="spellEnd"/>
      <w:r w:rsidRPr="006A3B73">
        <w:rPr>
          <w:smallCaps/>
          <w:lang w:val="en-GB"/>
        </w:rPr>
        <w:t xml:space="preserve"> </w:t>
      </w:r>
      <w:proofErr w:type="spellStart"/>
      <w:r w:rsidRPr="006A3B73">
        <w:rPr>
          <w:smallCaps/>
          <w:lang w:val="en-GB"/>
        </w:rPr>
        <w:t>d’Argenteuil</w:t>
      </w:r>
      <w:proofErr w:type="spellEnd"/>
      <w:r w:rsidRPr="006A3B73">
        <w:rPr>
          <w:smallCaps/>
          <w:lang w:val="en-GB"/>
        </w:rPr>
        <w:t xml:space="preserve">, A. </w:t>
      </w:r>
      <w:proofErr w:type="spellStart"/>
      <w:r w:rsidRPr="006A3B73">
        <w:rPr>
          <w:smallCaps/>
          <w:lang w:val="en-GB"/>
        </w:rPr>
        <w:t>Francquen</w:t>
      </w:r>
      <w:proofErr w:type="spellEnd"/>
      <w:r w:rsidRPr="00C878E7">
        <w:rPr>
          <w:lang w:val="en-GB"/>
        </w:rPr>
        <w:t xml:space="preserve">, </w:t>
      </w:r>
      <w:r w:rsidRPr="00CC2923">
        <w:rPr>
          <w:i/>
          <w:iCs/>
          <w:lang w:val="en-GB"/>
        </w:rPr>
        <w:t>Study on the legal framework of text and data mining (TDM)</w:t>
      </w:r>
      <w:r w:rsidRPr="00C878E7">
        <w:rPr>
          <w:lang w:val="en-GB"/>
        </w:rPr>
        <w:t xml:space="preserve">, </w:t>
      </w:r>
      <w:r>
        <w:rPr>
          <w:lang w:val="en-GB"/>
        </w:rPr>
        <w:t>supra at note 31</w:t>
      </w:r>
      <w:r w:rsidRPr="00C878E7">
        <w:rPr>
          <w:lang w:val="en-GB"/>
        </w:rPr>
        <w:t>,</w:t>
      </w:r>
      <w:r>
        <w:rPr>
          <w:lang w:val="en-GB"/>
        </w:rPr>
        <w:t xml:space="preserve"> p. 46.</w:t>
      </w:r>
    </w:p>
  </w:footnote>
  <w:footnote w:id="33">
    <w:p w14:paraId="33F30DE8" w14:textId="77777777" w:rsidR="00F819B0" w:rsidRPr="00AE695F" w:rsidRDefault="00F819B0" w:rsidP="00651F9B">
      <w:pPr>
        <w:pStyle w:val="Testonotaapidipagina"/>
        <w:rPr>
          <w:lang w:val="en-GB"/>
        </w:rPr>
      </w:pPr>
      <w:r>
        <w:rPr>
          <w:rStyle w:val="Rimandonotaapidipagina"/>
        </w:rPr>
        <w:footnoteRef/>
      </w:r>
      <w:r w:rsidRPr="00AE695F">
        <w:rPr>
          <w:lang w:val="en-GB"/>
        </w:rPr>
        <w:t xml:space="preserve"> </w:t>
      </w:r>
      <w:r w:rsidRPr="00744423">
        <w:rPr>
          <w:smallCaps/>
          <w:lang w:val="en-GB"/>
        </w:rPr>
        <w:t xml:space="preserve">M. </w:t>
      </w:r>
      <w:proofErr w:type="spellStart"/>
      <w:r>
        <w:rPr>
          <w:smallCaps/>
          <w:lang w:val="en-GB"/>
        </w:rPr>
        <w:t>Caspers</w:t>
      </w:r>
      <w:proofErr w:type="spellEnd"/>
      <w:r w:rsidRPr="00744423">
        <w:rPr>
          <w:smallCaps/>
          <w:lang w:val="en-GB"/>
        </w:rPr>
        <w:t xml:space="preserve">, L. </w:t>
      </w:r>
      <w:proofErr w:type="spellStart"/>
      <w:r w:rsidRPr="00744423">
        <w:rPr>
          <w:smallCaps/>
          <w:lang w:val="en-GB"/>
        </w:rPr>
        <w:t>G</w:t>
      </w:r>
      <w:r>
        <w:rPr>
          <w:smallCaps/>
          <w:lang w:val="en-GB"/>
        </w:rPr>
        <w:t>uibault</w:t>
      </w:r>
      <w:proofErr w:type="spellEnd"/>
      <w:r>
        <w:rPr>
          <w:smallCaps/>
          <w:lang w:val="en-GB"/>
        </w:rPr>
        <w:t xml:space="preserve"> et Al.</w:t>
      </w:r>
      <w:r w:rsidRPr="0090149D">
        <w:rPr>
          <w:lang w:val="en-GB"/>
        </w:rPr>
        <w:t xml:space="preserve">, </w:t>
      </w:r>
      <w:r w:rsidRPr="0090149D">
        <w:rPr>
          <w:i/>
          <w:iCs/>
          <w:lang w:val="en-GB"/>
        </w:rPr>
        <w:t>Baseline report of policies and barriers of TDM in Europe</w:t>
      </w:r>
      <w:r w:rsidRPr="0090149D">
        <w:rPr>
          <w:lang w:val="en-GB"/>
        </w:rPr>
        <w:t>, supra at note 27, p. 24.</w:t>
      </w:r>
    </w:p>
  </w:footnote>
  <w:footnote w:id="34">
    <w:p w14:paraId="0E695E8B"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sidRPr="00C878E7">
        <w:rPr>
          <w:lang w:val="en-GB"/>
        </w:rPr>
        <w:t>J.P</w:t>
      </w:r>
      <w:r w:rsidRPr="006A3B73">
        <w:rPr>
          <w:smallCaps/>
          <w:lang w:val="en-GB"/>
        </w:rPr>
        <w:t xml:space="preserve">. </w:t>
      </w:r>
      <w:proofErr w:type="spellStart"/>
      <w:r w:rsidRPr="006A3B73">
        <w:rPr>
          <w:smallCaps/>
          <w:lang w:val="en-GB"/>
        </w:rPr>
        <w:t>Triaille</w:t>
      </w:r>
      <w:proofErr w:type="spellEnd"/>
      <w:r w:rsidRPr="006A3B73">
        <w:rPr>
          <w:smallCaps/>
          <w:lang w:val="en-GB"/>
        </w:rPr>
        <w:t xml:space="preserve">, J. de </w:t>
      </w:r>
      <w:proofErr w:type="spellStart"/>
      <w:r w:rsidRPr="006A3B73">
        <w:rPr>
          <w:smallCaps/>
          <w:lang w:val="en-GB"/>
        </w:rPr>
        <w:t>Meeûs</w:t>
      </w:r>
      <w:proofErr w:type="spellEnd"/>
      <w:r w:rsidRPr="006A3B73">
        <w:rPr>
          <w:smallCaps/>
          <w:lang w:val="en-GB"/>
        </w:rPr>
        <w:t xml:space="preserve"> </w:t>
      </w:r>
      <w:proofErr w:type="spellStart"/>
      <w:r w:rsidRPr="006A3B73">
        <w:rPr>
          <w:smallCaps/>
          <w:lang w:val="en-GB"/>
        </w:rPr>
        <w:t>d’Argenteuil</w:t>
      </w:r>
      <w:proofErr w:type="spellEnd"/>
      <w:r w:rsidRPr="006A3B73">
        <w:rPr>
          <w:smallCaps/>
          <w:lang w:val="en-GB"/>
        </w:rPr>
        <w:t xml:space="preserve">, A. </w:t>
      </w:r>
      <w:proofErr w:type="spellStart"/>
      <w:r w:rsidRPr="006A3B73">
        <w:rPr>
          <w:smallCaps/>
          <w:lang w:val="en-GB"/>
        </w:rPr>
        <w:t>Francquen</w:t>
      </w:r>
      <w:proofErr w:type="spellEnd"/>
      <w:r w:rsidRPr="00C878E7">
        <w:rPr>
          <w:lang w:val="en-GB"/>
        </w:rPr>
        <w:t xml:space="preserve">, </w:t>
      </w:r>
      <w:r w:rsidRPr="00CC2923">
        <w:rPr>
          <w:i/>
          <w:iCs/>
          <w:lang w:val="en-GB"/>
        </w:rPr>
        <w:t>Study on the legal framework of text and data mining (TDM)</w:t>
      </w:r>
      <w:r w:rsidRPr="00C878E7">
        <w:rPr>
          <w:lang w:val="en-GB"/>
        </w:rPr>
        <w:t xml:space="preserve">, </w:t>
      </w:r>
      <w:r>
        <w:rPr>
          <w:lang w:val="en-GB"/>
        </w:rPr>
        <w:t>supra at note 31</w:t>
      </w:r>
      <w:r w:rsidRPr="00C878E7">
        <w:rPr>
          <w:lang w:val="en-GB"/>
        </w:rPr>
        <w:t>,</w:t>
      </w:r>
      <w:r>
        <w:rPr>
          <w:lang w:val="en-GB"/>
        </w:rPr>
        <w:t xml:space="preserve"> p. 46.</w:t>
      </w:r>
    </w:p>
  </w:footnote>
  <w:footnote w:id="35">
    <w:p w14:paraId="7B5CA521" w14:textId="77777777" w:rsidR="00F819B0" w:rsidRPr="008B334F" w:rsidRDefault="00F819B0" w:rsidP="00651F9B">
      <w:pPr>
        <w:pStyle w:val="Testonotaapidipagina"/>
        <w:jc w:val="both"/>
        <w:rPr>
          <w:lang w:val="en-GB"/>
        </w:rPr>
      </w:pPr>
      <w:r>
        <w:rPr>
          <w:rStyle w:val="Rimandonotaapidipagina"/>
        </w:rPr>
        <w:footnoteRef/>
      </w:r>
      <w:r w:rsidRPr="008B334F">
        <w:rPr>
          <w:lang w:val="en-GB"/>
        </w:rPr>
        <w:t xml:space="preserve"> </w:t>
      </w:r>
      <w:r w:rsidRPr="00DA2E11">
        <w:rPr>
          <w:lang w:val="en-GB"/>
        </w:rPr>
        <w:t xml:space="preserve">M.L. </w:t>
      </w:r>
      <w:proofErr w:type="spellStart"/>
      <w:r w:rsidRPr="006A3B73">
        <w:rPr>
          <w:smallCaps/>
          <w:lang w:val="en-GB"/>
        </w:rPr>
        <w:t>Montagnani</w:t>
      </w:r>
      <w:proofErr w:type="spellEnd"/>
      <w:r w:rsidRPr="006A3B73">
        <w:rPr>
          <w:smallCaps/>
          <w:lang w:val="en-GB"/>
        </w:rPr>
        <w:t xml:space="preserve">, G. </w:t>
      </w:r>
      <w:proofErr w:type="spellStart"/>
      <w:r w:rsidRPr="006A3B73">
        <w:rPr>
          <w:smallCaps/>
          <w:lang w:val="en-GB"/>
        </w:rPr>
        <w:t>Aime</w:t>
      </w:r>
      <w:proofErr w:type="spellEnd"/>
      <w:r w:rsidRPr="00DA2E11">
        <w:rPr>
          <w:lang w:val="en-GB"/>
        </w:rPr>
        <w:t xml:space="preserve">, </w:t>
      </w:r>
      <w:r w:rsidRPr="00DA2E11">
        <w:rPr>
          <w:i/>
          <w:iCs/>
          <w:lang w:val="en-GB"/>
        </w:rPr>
        <w:t xml:space="preserve">Il text and data mining e il </w:t>
      </w:r>
      <w:proofErr w:type="spellStart"/>
      <w:r w:rsidRPr="00DA2E11">
        <w:rPr>
          <w:i/>
          <w:iCs/>
          <w:lang w:val="en-GB"/>
        </w:rPr>
        <w:t>diritto</w:t>
      </w:r>
      <w:proofErr w:type="spellEnd"/>
      <w:r w:rsidRPr="00DA2E11">
        <w:rPr>
          <w:i/>
          <w:iCs/>
          <w:lang w:val="en-GB"/>
        </w:rPr>
        <w:t xml:space="preserve"> </w:t>
      </w:r>
      <w:proofErr w:type="spellStart"/>
      <w:r w:rsidRPr="00DA2E11">
        <w:rPr>
          <w:i/>
          <w:iCs/>
          <w:lang w:val="en-GB"/>
        </w:rPr>
        <w:t>d’autore</w:t>
      </w:r>
      <w:proofErr w:type="spellEnd"/>
      <w:r w:rsidRPr="00DA2E11">
        <w:rPr>
          <w:lang w:val="en-GB"/>
        </w:rPr>
        <w:t xml:space="preserve">, in </w:t>
      </w:r>
      <w:r w:rsidRPr="00DA2E11">
        <w:rPr>
          <w:i/>
          <w:iCs/>
          <w:lang w:val="en-GB"/>
        </w:rPr>
        <w:t>AIDA</w:t>
      </w:r>
      <w:r w:rsidRPr="00DA2E11">
        <w:rPr>
          <w:lang w:val="en-GB"/>
        </w:rPr>
        <w:t xml:space="preserve"> 2017, </w:t>
      </w:r>
      <w:r>
        <w:rPr>
          <w:lang w:val="en-GB"/>
        </w:rPr>
        <w:t xml:space="preserve">p. </w:t>
      </w:r>
      <w:r w:rsidRPr="00DA2E11">
        <w:rPr>
          <w:lang w:val="en-GB"/>
        </w:rPr>
        <w:t>3</w:t>
      </w:r>
      <w:r>
        <w:rPr>
          <w:lang w:val="en-GB"/>
        </w:rPr>
        <w:t>84;</w:t>
      </w:r>
      <w:r w:rsidRPr="008B334F">
        <w:rPr>
          <w:lang w:val="en-GB"/>
        </w:rPr>
        <w:t xml:space="preserve"> I. </w:t>
      </w:r>
      <w:proofErr w:type="spellStart"/>
      <w:r w:rsidRPr="006A3B73">
        <w:rPr>
          <w:smallCaps/>
          <w:lang w:val="en-GB"/>
        </w:rPr>
        <w:t>Stamatoudi</w:t>
      </w:r>
      <w:proofErr w:type="spellEnd"/>
      <w:r w:rsidRPr="008B334F">
        <w:rPr>
          <w:lang w:val="en-GB"/>
        </w:rPr>
        <w:t xml:space="preserve">, </w:t>
      </w:r>
      <w:r w:rsidRPr="008B334F">
        <w:rPr>
          <w:i/>
          <w:iCs/>
          <w:lang w:val="en-GB"/>
        </w:rPr>
        <w:t>An EU exception for Text and Data Mining in the pipeline</w:t>
      </w:r>
      <w:r w:rsidRPr="008B334F">
        <w:rPr>
          <w:lang w:val="en-GB"/>
        </w:rPr>
        <w:t xml:space="preserve">, in </w:t>
      </w:r>
      <w:r w:rsidRPr="00275039">
        <w:rPr>
          <w:i/>
          <w:iCs/>
          <w:lang w:val="en-GB"/>
        </w:rPr>
        <w:t>Kluwer Copyright Blog</w:t>
      </w:r>
      <w:r w:rsidRPr="008B334F">
        <w:rPr>
          <w:lang w:val="en-GB"/>
        </w:rPr>
        <w:t xml:space="preserve">, </w:t>
      </w:r>
      <w:r>
        <w:rPr>
          <w:lang w:val="en-GB"/>
        </w:rPr>
        <w:t xml:space="preserve">11 May </w:t>
      </w:r>
      <w:r w:rsidRPr="008B334F">
        <w:rPr>
          <w:lang w:val="en-GB"/>
        </w:rPr>
        <w:t>2016</w:t>
      </w:r>
      <w:r>
        <w:rPr>
          <w:lang w:val="en-GB"/>
        </w:rPr>
        <w:t xml:space="preserve">, </w:t>
      </w:r>
      <w:hyperlink r:id="rId8" w:history="1">
        <w:r w:rsidRPr="003250AB">
          <w:rPr>
            <w:rStyle w:val="Collegamentoipertestuale"/>
            <w:lang w:val="en-GB"/>
          </w:rPr>
          <w:t>http://copyrightblog.kluweriplaw.com/2016/05/11/eu-exception-text-data-mining-pipeline/</w:t>
        </w:r>
      </w:hyperlink>
      <w:r>
        <w:rPr>
          <w:lang w:val="en-GB"/>
        </w:rPr>
        <w:t>,</w:t>
      </w:r>
      <w:r w:rsidRPr="009F135A">
        <w:rPr>
          <w:lang w:val="en-GB"/>
        </w:rPr>
        <w:t xml:space="preserve"> last accessed on </w:t>
      </w:r>
      <w:r>
        <w:rPr>
          <w:lang w:val="en-GB"/>
        </w:rPr>
        <w:t xml:space="preserve">25 </w:t>
      </w:r>
      <w:r w:rsidRPr="009F135A">
        <w:rPr>
          <w:lang w:val="en-GB"/>
        </w:rPr>
        <w:t>July 2020.</w:t>
      </w:r>
    </w:p>
  </w:footnote>
  <w:footnote w:id="36">
    <w:p w14:paraId="2C37CA64" w14:textId="77777777" w:rsidR="00F819B0" w:rsidRPr="002371C3" w:rsidRDefault="00F819B0" w:rsidP="00651F9B">
      <w:pPr>
        <w:pStyle w:val="Testonotaapidipagina"/>
        <w:jc w:val="both"/>
        <w:rPr>
          <w:lang w:val="en-GB"/>
        </w:rPr>
      </w:pPr>
      <w:r>
        <w:rPr>
          <w:rStyle w:val="Rimandonotaapidipagina"/>
        </w:rPr>
        <w:footnoteRef/>
      </w:r>
      <w:r w:rsidRPr="002371C3">
        <w:rPr>
          <w:lang w:val="en-GB"/>
        </w:rPr>
        <w:t xml:space="preserve"> </w:t>
      </w:r>
      <w:r>
        <w:rPr>
          <w:lang w:val="en-GB"/>
        </w:rPr>
        <w:t xml:space="preserve">B. </w:t>
      </w:r>
      <w:proofErr w:type="spellStart"/>
      <w:r w:rsidRPr="006A3B73">
        <w:rPr>
          <w:smallCaps/>
          <w:lang w:val="en-GB"/>
        </w:rPr>
        <w:t>Raue</w:t>
      </w:r>
      <w:proofErr w:type="spellEnd"/>
      <w:r>
        <w:rPr>
          <w:lang w:val="en-GB"/>
        </w:rPr>
        <w:t xml:space="preserve">, </w:t>
      </w:r>
      <w:r w:rsidRPr="00A046AC">
        <w:rPr>
          <w:i/>
          <w:iCs/>
          <w:lang w:val="en-GB"/>
        </w:rPr>
        <w:t>Free Flow of Data? The Friction Between the Commission’s European Data Economy Initiative and the proposed Directive on Copyright in the Digital</w:t>
      </w:r>
      <w:r>
        <w:rPr>
          <w:i/>
          <w:iCs/>
          <w:lang w:val="en-GB"/>
        </w:rPr>
        <w:t xml:space="preserve"> Single Market, </w:t>
      </w:r>
      <w:r>
        <w:rPr>
          <w:lang w:val="en-GB"/>
        </w:rPr>
        <w:t xml:space="preserve">in </w:t>
      </w:r>
      <w:r w:rsidRPr="00A046AC">
        <w:rPr>
          <w:i/>
          <w:iCs/>
          <w:lang w:val="en-GB"/>
        </w:rPr>
        <w:t>IIC</w:t>
      </w:r>
      <w:r>
        <w:rPr>
          <w:lang w:val="en-GB"/>
        </w:rPr>
        <w:t xml:space="preserve"> 2018, p. 381.</w:t>
      </w:r>
    </w:p>
  </w:footnote>
  <w:footnote w:id="37">
    <w:p w14:paraId="735C2B47" w14:textId="77777777" w:rsidR="00F819B0" w:rsidRPr="00BF1969" w:rsidRDefault="00F819B0" w:rsidP="00651F9B">
      <w:pPr>
        <w:pStyle w:val="Testonotaapidipagina"/>
        <w:rPr>
          <w:lang w:val="en-GB"/>
        </w:rPr>
      </w:pPr>
      <w:r>
        <w:rPr>
          <w:rStyle w:val="Rimandonotaapidipagina"/>
        </w:rPr>
        <w:footnoteRef/>
      </w:r>
      <w:r w:rsidRPr="00BF1969">
        <w:rPr>
          <w:lang w:val="en-GB"/>
        </w:rPr>
        <w:t xml:space="preserve"> </w:t>
      </w:r>
      <w:r>
        <w:rPr>
          <w:lang w:val="en-GB"/>
        </w:rPr>
        <w:t>CJEU, case C-302/10, supra at note 28</w:t>
      </w:r>
      <w:r w:rsidRPr="001F7050">
        <w:rPr>
          <w:lang w:val="en-GB"/>
        </w:rPr>
        <w:t>,</w:t>
      </w:r>
      <w:r w:rsidRPr="00BF1969">
        <w:rPr>
          <w:lang w:val="en-GB"/>
        </w:rPr>
        <w:t xml:space="preserve"> §50.</w:t>
      </w:r>
    </w:p>
  </w:footnote>
  <w:footnote w:id="38">
    <w:p w14:paraId="31F5318A" w14:textId="77777777" w:rsidR="00F819B0" w:rsidRPr="00AE695F" w:rsidRDefault="00F819B0" w:rsidP="00651F9B">
      <w:pPr>
        <w:pStyle w:val="Testonotaapidipagina"/>
        <w:rPr>
          <w:lang w:val="en-GB"/>
        </w:rPr>
      </w:pPr>
      <w:r>
        <w:rPr>
          <w:rStyle w:val="Rimandonotaapidipagina"/>
        </w:rPr>
        <w:footnoteRef/>
      </w:r>
      <w:r w:rsidRPr="00AE695F">
        <w:rPr>
          <w:lang w:val="en-GB"/>
        </w:rPr>
        <w:t xml:space="preserve"> </w:t>
      </w:r>
      <w:r w:rsidRPr="00B11C18">
        <w:rPr>
          <w:lang w:val="en-GB"/>
        </w:rPr>
        <w:t>I</w:t>
      </w:r>
      <w:r>
        <w:rPr>
          <w:lang w:val="en-GB"/>
        </w:rPr>
        <w:t>.</w:t>
      </w:r>
      <w:r w:rsidRPr="00B11C18">
        <w:rPr>
          <w:lang w:val="en-GB"/>
        </w:rPr>
        <w:t xml:space="preserve"> </w:t>
      </w:r>
      <w:proofErr w:type="spellStart"/>
      <w:r w:rsidRPr="009F135A">
        <w:rPr>
          <w:smallCaps/>
          <w:lang w:val="en-GB"/>
        </w:rPr>
        <w:t>Stamatoudi</w:t>
      </w:r>
      <w:proofErr w:type="spellEnd"/>
      <w:r>
        <w:rPr>
          <w:lang w:val="en-GB"/>
        </w:rPr>
        <w:t>,</w:t>
      </w:r>
      <w:r w:rsidRPr="00B11C18">
        <w:rPr>
          <w:lang w:val="en-GB"/>
        </w:rPr>
        <w:t xml:space="preserve"> </w:t>
      </w:r>
      <w:r w:rsidRPr="00AE695F">
        <w:rPr>
          <w:i/>
          <w:iCs/>
          <w:lang w:val="en-GB"/>
        </w:rPr>
        <w:t>An EU exception for Text and Data Mining in the pipeline</w:t>
      </w:r>
      <w:r w:rsidRPr="009F135A">
        <w:rPr>
          <w:lang w:val="en-GB"/>
        </w:rPr>
        <w:t xml:space="preserve">, supra at note </w:t>
      </w:r>
      <w:r>
        <w:rPr>
          <w:lang w:val="en-GB"/>
        </w:rPr>
        <w:t>3</w:t>
      </w:r>
      <w:r w:rsidRPr="009F135A">
        <w:rPr>
          <w:lang w:val="en-GB"/>
        </w:rPr>
        <w:t>5.</w:t>
      </w:r>
      <w:r>
        <w:rPr>
          <w:lang w:val="en-GB"/>
        </w:rPr>
        <w:t xml:space="preserve"> </w:t>
      </w:r>
    </w:p>
  </w:footnote>
  <w:footnote w:id="39">
    <w:p w14:paraId="267A4098" w14:textId="77777777" w:rsidR="00F819B0" w:rsidRPr="00AE695F" w:rsidRDefault="00F819B0" w:rsidP="00651F9B">
      <w:pPr>
        <w:pStyle w:val="Testonotaapidipagina"/>
        <w:rPr>
          <w:lang w:val="en-GB"/>
        </w:rPr>
      </w:pPr>
      <w:r>
        <w:rPr>
          <w:rStyle w:val="Rimandonotaapidipagina"/>
        </w:rPr>
        <w:footnoteRef/>
      </w:r>
      <w:r w:rsidRPr="00AE695F">
        <w:rPr>
          <w:lang w:val="en-GB"/>
        </w:rPr>
        <w:t xml:space="preserve"> </w:t>
      </w:r>
      <w:r w:rsidRPr="00742A43">
        <w:rPr>
          <w:lang w:val="en-GB"/>
        </w:rPr>
        <w:t xml:space="preserve">C. </w:t>
      </w:r>
      <w:r w:rsidRPr="009F135A">
        <w:rPr>
          <w:smallCaps/>
          <w:lang w:val="en-GB"/>
        </w:rPr>
        <w:t xml:space="preserve">Geiger, G. </w:t>
      </w:r>
      <w:proofErr w:type="spellStart"/>
      <w:r w:rsidRPr="009F135A">
        <w:rPr>
          <w:smallCaps/>
          <w:lang w:val="en-GB"/>
        </w:rPr>
        <w:t>Frosio</w:t>
      </w:r>
      <w:proofErr w:type="spellEnd"/>
      <w:r w:rsidRPr="009F135A">
        <w:rPr>
          <w:smallCaps/>
          <w:lang w:val="en-GB"/>
        </w:rPr>
        <w:t xml:space="preserve">, O. </w:t>
      </w:r>
      <w:proofErr w:type="spellStart"/>
      <w:r w:rsidRPr="009F135A">
        <w:rPr>
          <w:smallCaps/>
          <w:lang w:val="en-GB"/>
        </w:rPr>
        <w:t>Bulayenko</w:t>
      </w:r>
      <w:proofErr w:type="spellEnd"/>
      <w:r w:rsidRPr="00742A43">
        <w:rPr>
          <w:lang w:val="en-GB"/>
        </w:rPr>
        <w:t xml:space="preserve">, </w:t>
      </w:r>
      <w:r w:rsidRPr="009F135A">
        <w:rPr>
          <w:i/>
          <w:iCs/>
          <w:lang w:val="en-GB"/>
        </w:rPr>
        <w:t>Text and Data Mining: articles 3 and 4 of the Directive 2019/790/EU</w:t>
      </w:r>
      <w:r w:rsidRPr="00742A43">
        <w:rPr>
          <w:lang w:val="en-GB"/>
        </w:rPr>
        <w:t xml:space="preserve">, </w:t>
      </w:r>
      <w:r>
        <w:rPr>
          <w:lang w:val="en-GB"/>
        </w:rPr>
        <w:t>supra at note 17, p. 14.</w:t>
      </w:r>
    </w:p>
  </w:footnote>
  <w:footnote w:id="40">
    <w:p w14:paraId="3B0CC94E" w14:textId="77777777" w:rsidR="00F819B0" w:rsidRPr="00777E1B" w:rsidRDefault="00F819B0" w:rsidP="00651F9B">
      <w:pPr>
        <w:pStyle w:val="Testonotaapidipagina"/>
        <w:rPr>
          <w:lang w:val="en-GB"/>
        </w:rPr>
      </w:pPr>
      <w:r>
        <w:rPr>
          <w:rStyle w:val="Rimandonotaapidipagina"/>
        </w:rPr>
        <w:footnoteRef/>
      </w:r>
      <w:r w:rsidRPr="00777E1B">
        <w:rPr>
          <w:lang w:val="en-GB"/>
        </w:rPr>
        <w:t xml:space="preserve"> </w:t>
      </w:r>
      <w:r>
        <w:rPr>
          <w:lang w:val="en-GB"/>
        </w:rPr>
        <w:t>See for example AI tools for artists at this webpage:</w:t>
      </w:r>
      <w:r w:rsidRPr="00FE376A">
        <w:rPr>
          <w:lang w:val="en-GB"/>
        </w:rPr>
        <w:t xml:space="preserve"> </w:t>
      </w:r>
      <w:hyperlink r:id="rId9" w:history="1">
        <w:r w:rsidRPr="003250AB">
          <w:rPr>
            <w:rStyle w:val="Collegamentoipertestuale"/>
            <w:lang w:val="en-GB"/>
          </w:rPr>
          <w:t>https://aiartists.org/ai-generated-art-tools</w:t>
        </w:r>
      </w:hyperlink>
      <w:r>
        <w:rPr>
          <w:lang w:val="en-GB"/>
        </w:rPr>
        <w:t xml:space="preserve">. </w:t>
      </w:r>
    </w:p>
  </w:footnote>
  <w:footnote w:id="41">
    <w:p w14:paraId="7493971D" w14:textId="77777777" w:rsidR="00F819B0" w:rsidRPr="00131173" w:rsidRDefault="00F819B0" w:rsidP="00651F9B">
      <w:pPr>
        <w:pStyle w:val="Testonotaapidipagina"/>
        <w:jc w:val="both"/>
      </w:pPr>
      <w:r>
        <w:rPr>
          <w:rStyle w:val="Rimandonotaapidipagina"/>
        </w:rPr>
        <w:footnoteRef/>
      </w:r>
      <w:r w:rsidRPr="00131173">
        <w:t xml:space="preserve"> </w:t>
      </w:r>
      <w:r w:rsidRPr="00AE695F">
        <w:t xml:space="preserve">F. </w:t>
      </w:r>
      <w:r w:rsidRPr="00BD3E7D">
        <w:rPr>
          <w:smallCaps/>
        </w:rPr>
        <w:t>Mezzanotte</w:t>
      </w:r>
      <w:r w:rsidRPr="00AE695F">
        <w:t xml:space="preserve">, </w:t>
      </w:r>
      <w:r w:rsidRPr="00BD3E7D">
        <w:rPr>
          <w:i/>
          <w:iCs/>
        </w:rPr>
        <w:t xml:space="preserve">Le </w:t>
      </w:r>
      <w:r w:rsidRPr="00BD3E7D">
        <w:rPr>
          <w:rFonts w:cstheme="minorHAnsi"/>
          <w:i/>
          <w:iCs/>
        </w:rPr>
        <w:t>«</w:t>
      </w:r>
      <w:r w:rsidRPr="00BD3E7D">
        <w:rPr>
          <w:i/>
          <w:iCs/>
        </w:rPr>
        <w:t>eccezioni e limitazioni</w:t>
      </w:r>
      <w:r w:rsidRPr="00BD3E7D">
        <w:rPr>
          <w:rFonts w:cstheme="minorHAnsi"/>
          <w:i/>
          <w:iCs/>
        </w:rPr>
        <w:t>»</w:t>
      </w:r>
      <w:r w:rsidRPr="00BD3E7D">
        <w:rPr>
          <w:i/>
          <w:iCs/>
        </w:rPr>
        <w:t xml:space="preserve"> al diritto d’autore UE (parte II: Le libere utilizzazioni nell’ambiente digitale</w:t>
      </w:r>
      <w:r>
        <w:t>, in</w:t>
      </w:r>
      <w:r w:rsidRPr="00BD3E7D">
        <w:rPr>
          <w:i/>
          <w:iCs/>
        </w:rPr>
        <w:t xml:space="preserve"> AIDA</w:t>
      </w:r>
      <w:r>
        <w:t xml:space="preserve"> 2017, p. 309. </w:t>
      </w:r>
    </w:p>
  </w:footnote>
  <w:footnote w:id="42">
    <w:p w14:paraId="5D19354F" w14:textId="77777777" w:rsidR="00F819B0" w:rsidRPr="00AE695F" w:rsidRDefault="00F819B0" w:rsidP="00651F9B">
      <w:pPr>
        <w:pStyle w:val="Testonotaapidipagina"/>
        <w:jc w:val="both"/>
        <w:rPr>
          <w:lang w:val="en-GB"/>
        </w:rPr>
      </w:pPr>
      <w:r>
        <w:rPr>
          <w:rStyle w:val="Rimandonotaapidipagina"/>
        </w:rPr>
        <w:footnoteRef/>
      </w:r>
      <w:r w:rsidRPr="00AE695F">
        <w:rPr>
          <w:lang w:val="en-GB"/>
        </w:rPr>
        <w:t xml:space="preserve"> </w:t>
      </w:r>
      <w:r w:rsidRPr="00744423">
        <w:rPr>
          <w:smallCaps/>
          <w:lang w:val="en-GB"/>
        </w:rPr>
        <w:t xml:space="preserve">M. </w:t>
      </w:r>
      <w:proofErr w:type="spellStart"/>
      <w:r w:rsidRPr="00744423">
        <w:rPr>
          <w:smallCaps/>
          <w:lang w:val="en-GB"/>
        </w:rPr>
        <w:t>Caspers</w:t>
      </w:r>
      <w:proofErr w:type="spellEnd"/>
      <w:r w:rsidRPr="00744423">
        <w:rPr>
          <w:smallCaps/>
          <w:lang w:val="en-GB"/>
        </w:rPr>
        <w:t xml:space="preserve">, L. </w:t>
      </w:r>
      <w:proofErr w:type="spellStart"/>
      <w:r w:rsidRPr="00744423">
        <w:rPr>
          <w:smallCaps/>
          <w:lang w:val="en-GB"/>
        </w:rPr>
        <w:t>Guibault</w:t>
      </w:r>
      <w:proofErr w:type="spellEnd"/>
      <w:r w:rsidRPr="00744423">
        <w:rPr>
          <w:smallCaps/>
          <w:lang w:val="en-GB"/>
        </w:rPr>
        <w:t xml:space="preserve"> et Al</w:t>
      </w:r>
      <w:r w:rsidRPr="0090149D">
        <w:rPr>
          <w:lang w:val="en-GB"/>
        </w:rPr>
        <w:t xml:space="preserve">., </w:t>
      </w:r>
      <w:r w:rsidRPr="0090149D">
        <w:rPr>
          <w:i/>
          <w:iCs/>
          <w:lang w:val="en-GB"/>
        </w:rPr>
        <w:t>Baseline report of policies and barriers of TDM in Europe</w:t>
      </w:r>
      <w:r w:rsidRPr="0090149D">
        <w:rPr>
          <w:lang w:val="en-GB"/>
        </w:rPr>
        <w:t>,</w:t>
      </w:r>
      <w:r w:rsidRPr="007C6468">
        <w:rPr>
          <w:lang w:val="en-GB"/>
        </w:rPr>
        <w:t xml:space="preserve"> </w:t>
      </w:r>
      <w:r>
        <w:rPr>
          <w:lang w:val="en-GB"/>
        </w:rPr>
        <w:t xml:space="preserve">supra at note 27, p. 35. For a report on the different systems of </w:t>
      </w:r>
      <w:r w:rsidRPr="00FD2407">
        <w:rPr>
          <w:lang w:val="en-GB"/>
        </w:rPr>
        <w:t>private copying levies</w:t>
      </w:r>
      <w:r>
        <w:rPr>
          <w:lang w:val="en-GB"/>
        </w:rPr>
        <w:t xml:space="preserve"> provided by Member States, see </w:t>
      </w:r>
      <w:r w:rsidRPr="00FD2407">
        <w:rPr>
          <w:lang w:val="en-GB"/>
        </w:rPr>
        <w:t>H</w:t>
      </w:r>
      <w:r>
        <w:rPr>
          <w:lang w:val="en-GB"/>
        </w:rPr>
        <w:t>.</w:t>
      </w:r>
      <w:r w:rsidRPr="00FD2407">
        <w:rPr>
          <w:lang w:val="en-GB"/>
        </w:rPr>
        <w:t xml:space="preserve"> </w:t>
      </w:r>
      <w:proofErr w:type="spellStart"/>
      <w:r w:rsidRPr="00D30C88">
        <w:rPr>
          <w:smallCaps/>
          <w:lang w:val="en-GB"/>
        </w:rPr>
        <w:t>Wijminga</w:t>
      </w:r>
      <w:proofErr w:type="spellEnd"/>
      <w:r w:rsidRPr="00D30C88">
        <w:rPr>
          <w:smallCaps/>
          <w:lang w:val="en-GB"/>
        </w:rPr>
        <w:t xml:space="preserve">, W. Klomp, M. van der </w:t>
      </w:r>
      <w:proofErr w:type="spellStart"/>
      <w:r w:rsidRPr="00D30C88">
        <w:rPr>
          <w:smallCaps/>
          <w:lang w:val="en-GB"/>
        </w:rPr>
        <w:t>Jagt</w:t>
      </w:r>
      <w:proofErr w:type="spellEnd"/>
      <w:r w:rsidRPr="00D30C88">
        <w:rPr>
          <w:smallCaps/>
          <w:lang w:val="en-GB"/>
        </w:rPr>
        <w:t xml:space="preserve">, J. </w:t>
      </w:r>
      <w:proofErr w:type="spellStart"/>
      <w:r w:rsidRPr="00D30C88">
        <w:rPr>
          <w:smallCaps/>
          <w:lang w:val="en-GB"/>
        </w:rPr>
        <w:t>Poort</w:t>
      </w:r>
      <w:proofErr w:type="spellEnd"/>
      <w:r>
        <w:rPr>
          <w:lang w:val="en-GB"/>
        </w:rPr>
        <w:t xml:space="preserve">, </w:t>
      </w:r>
      <w:r w:rsidRPr="00AE695F">
        <w:rPr>
          <w:i/>
          <w:iCs/>
          <w:lang w:val="en-GB"/>
        </w:rPr>
        <w:t>International Survey on Private Copying</w:t>
      </w:r>
      <w:r>
        <w:rPr>
          <w:i/>
          <w:iCs/>
          <w:lang w:val="en-GB"/>
        </w:rPr>
        <w:t xml:space="preserve">, </w:t>
      </w:r>
      <w:r>
        <w:rPr>
          <w:lang w:val="en-GB"/>
        </w:rPr>
        <w:t>WIPO Report, 2016.</w:t>
      </w:r>
    </w:p>
  </w:footnote>
  <w:footnote w:id="43">
    <w:p w14:paraId="2B1F089E" w14:textId="77777777" w:rsidR="00F819B0" w:rsidRPr="00227CE3" w:rsidRDefault="00F819B0" w:rsidP="00651F9B">
      <w:pPr>
        <w:pStyle w:val="Testonotaapidipagina"/>
        <w:jc w:val="both"/>
        <w:rPr>
          <w:lang w:val="en-GB"/>
        </w:rPr>
      </w:pPr>
      <w:r>
        <w:rPr>
          <w:rStyle w:val="Rimandonotaapidipagina"/>
        </w:rPr>
        <w:footnoteRef/>
      </w:r>
      <w:r w:rsidRPr="00227CE3">
        <w:rPr>
          <w:lang w:val="en-GB"/>
        </w:rPr>
        <w:t xml:space="preserve"> </w:t>
      </w:r>
      <w:r w:rsidRPr="004E1039">
        <w:rPr>
          <w:lang w:val="en-GB"/>
        </w:rPr>
        <w:t>Μ</w:t>
      </w:r>
      <w:r w:rsidRPr="00227CE3">
        <w:rPr>
          <w:lang w:val="en-GB"/>
        </w:rPr>
        <w:t xml:space="preserve">. </w:t>
      </w:r>
      <w:proofErr w:type="spellStart"/>
      <w:r w:rsidRPr="00D30C88">
        <w:rPr>
          <w:smallCaps/>
          <w:lang w:val="en-GB"/>
        </w:rPr>
        <w:t>Bottis</w:t>
      </w:r>
      <w:proofErr w:type="spellEnd"/>
      <w:r w:rsidRPr="00D30C88">
        <w:rPr>
          <w:smallCaps/>
          <w:lang w:val="en-GB"/>
        </w:rPr>
        <w:t xml:space="preserve">, M. Papadopoulos, C. </w:t>
      </w:r>
      <w:proofErr w:type="spellStart"/>
      <w:r w:rsidRPr="00D30C88">
        <w:rPr>
          <w:smallCaps/>
          <w:lang w:val="en-GB"/>
        </w:rPr>
        <w:t>Zampakolas</w:t>
      </w:r>
      <w:proofErr w:type="spellEnd"/>
      <w:r w:rsidRPr="00D30C88">
        <w:rPr>
          <w:smallCaps/>
          <w:lang w:val="en-GB"/>
        </w:rPr>
        <w:t xml:space="preserve">, P. </w:t>
      </w:r>
      <w:proofErr w:type="spellStart"/>
      <w:r w:rsidRPr="00D30C88">
        <w:rPr>
          <w:smallCaps/>
          <w:lang w:val="en-GB"/>
        </w:rPr>
        <w:t>Ganatsiou</w:t>
      </w:r>
      <w:proofErr w:type="spellEnd"/>
      <w:r w:rsidRPr="00227CE3">
        <w:rPr>
          <w:lang w:val="en-GB"/>
        </w:rPr>
        <w:t xml:space="preserve">, </w:t>
      </w:r>
      <w:r w:rsidRPr="00227CE3">
        <w:rPr>
          <w:i/>
          <w:iCs/>
          <w:lang w:val="en-GB"/>
        </w:rPr>
        <w:t>Text and Data Mining in Directive 2019/790/EU Enhancing Web-Harvesting and Web-Archiving in Libraries and Archives</w:t>
      </w:r>
      <w:r>
        <w:rPr>
          <w:i/>
          <w:iCs/>
          <w:lang w:val="en-GB"/>
        </w:rPr>
        <w:t xml:space="preserve">, </w:t>
      </w:r>
      <w:r>
        <w:rPr>
          <w:lang w:val="en-GB"/>
        </w:rPr>
        <w:t xml:space="preserve">in </w:t>
      </w:r>
      <w:r w:rsidRPr="00227CE3">
        <w:rPr>
          <w:i/>
          <w:iCs/>
          <w:lang w:val="en-GB"/>
        </w:rPr>
        <w:t>Open Journal of Philosophy</w:t>
      </w:r>
      <w:r>
        <w:rPr>
          <w:lang w:val="en-GB"/>
        </w:rPr>
        <w:t xml:space="preserve"> </w:t>
      </w:r>
      <w:r w:rsidRPr="00227CE3">
        <w:rPr>
          <w:lang w:val="en-GB"/>
        </w:rPr>
        <w:t xml:space="preserve">2019, </w:t>
      </w:r>
      <w:r>
        <w:rPr>
          <w:lang w:val="en-GB"/>
        </w:rPr>
        <w:t xml:space="preserve">Vol. </w:t>
      </w:r>
      <w:r w:rsidRPr="00227CE3">
        <w:rPr>
          <w:lang w:val="en-GB"/>
        </w:rPr>
        <w:t>9,</w:t>
      </w:r>
      <w:r>
        <w:rPr>
          <w:lang w:val="en-GB"/>
        </w:rPr>
        <w:t xml:space="preserve"> p. 388.</w:t>
      </w:r>
    </w:p>
  </w:footnote>
  <w:footnote w:id="44">
    <w:p w14:paraId="609A64F8" w14:textId="77777777" w:rsidR="00F819B0" w:rsidRPr="00E02EB8" w:rsidRDefault="00F819B0" w:rsidP="00106DB8">
      <w:pPr>
        <w:pStyle w:val="Testonotaapidipagina"/>
        <w:jc w:val="both"/>
        <w:rPr>
          <w:lang w:val="en-GB"/>
        </w:rPr>
      </w:pPr>
      <w:r>
        <w:rPr>
          <w:rStyle w:val="Rimandonotaapidipagina"/>
        </w:rPr>
        <w:footnoteRef/>
      </w:r>
      <w:r w:rsidRPr="00E02EB8">
        <w:rPr>
          <w:lang w:val="en-GB"/>
        </w:rPr>
        <w:t xml:space="preserve"> S</w:t>
      </w:r>
      <w:r>
        <w:rPr>
          <w:lang w:val="en-GB"/>
        </w:rPr>
        <w:t xml:space="preserve">ee Art. 5.3 a) of the </w:t>
      </w:r>
      <w:proofErr w:type="spellStart"/>
      <w:r>
        <w:rPr>
          <w:lang w:val="en-GB"/>
        </w:rPr>
        <w:t>Infosoc</w:t>
      </w:r>
      <w:proofErr w:type="spellEnd"/>
      <w:r>
        <w:rPr>
          <w:lang w:val="en-GB"/>
        </w:rPr>
        <w:t xml:space="preserve"> Directive for copyright; Art. 6.2 b) and Art. 9 b) of Directive 96/9 respectively for databases protected by copyright and by </w:t>
      </w:r>
      <w:r w:rsidRPr="004975BD">
        <w:rPr>
          <w:i/>
          <w:iCs/>
          <w:lang w:val="en-GB"/>
        </w:rPr>
        <w:t>sui generis</w:t>
      </w:r>
      <w:r>
        <w:rPr>
          <w:lang w:val="en-GB"/>
        </w:rPr>
        <w:t xml:space="preserve"> rights. </w:t>
      </w:r>
    </w:p>
  </w:footnote>
  <w:footnote w:id="45">
    <w:p w14:paraId="1E207A8D" w14:textId="77777777" w:rsidR="00F819B0" w:rsidRPr="00530EFD" w:rsidRDefault="00F819B0" w:rsidP="00651F9B">
      <w:pPr>
        <w:pStyle w:val="Testonotaapidipagina"/>
        <w:jc w:val="both"/>
        <w:rPr>
          <w:lang w:val="en-GB"/>
        </w:rPr>
      </w:pPr>
      <w:r>
        <w:rPr>
          <w:rStyle w:val="Rimandonotaapidipagina"/>
        </w:rPr>
        <w:footnoteRef/>
      </w:r>
      <w:r w:rsidRPr="00530EFD">
        <w:rPr>
          <w:lang w:val="en-GB"/>
        </w:rPr>
        <w:t xml:space="preserve"> </w:t>
      </w:r>
      <w:r>
        <w:rPr>
          <w:lang w:val="en-GB"/>
        </w:rPr>
        <w:t>R</w:t>
      </w:r>
      <w:r w:rsidRPr="00530EFD">
        <w:rPr>
          <w:lang w:val="en-GB"/>
        </w:rPr>
        <w:t>ecital 12 of Directive 2019/790. Recital 1</w:t>
      </w:r>
      <w:r>
        <w:rPr>
          <w:lang w:val="en-GB"/>
        </w:rPr>
        <w:t xml:space="preserve">1 also extends the exception to </w:t>
      </w:r>
      <w:r w:rsidRPr="00530EFD">
        <w:rPr>
          <w:lang w:val="en-GB"/>
        </w:rPr>
        <w:t>research activities carried out</w:t>
      </w:r>
      <w:r>
        <w:rPr>
          <w:lang w:val="en-GB"/>
        </w:rPr>
        <w:t xml:space="preserve"> in the context of p</w:t>
      </w:r>
      <w:r w:rsidRPr="00530EFD">
        <w:rPr>
          <w:lang w:val="en-GB"/>
        </w:rPr>
        <w:t>ublic-private partnerships.</w:t>
      </w:r>
    </w:p>
  </w:footnote>
  <w:footnote w:id="46">
    <w:p w14:paraId="5F0A41BF" w14:textId="77777777" w:rsidR="00F819B0" w:rsidRPr="00B43340" w:rsidRDefault="00F819B0" w:rsidP="00651F9B">
      <w:pPr>
        <w:pStyle w:val="Testonotaapidipagina"/>
        <w:jc w:val="both"/>
      </w:pPr>
      <w:r>
        <w:rPr>
          <w:rStyle w:val="Rimandonotaapidipagina"/>
        </w:rPr>
        <w:footnoteRef/>
      </w:r>
      <w:r w:rsidRPr="00B43340">
        <w:t xml:space="preserve"> </w:t>
      </w:r>
      <w:r w:rsidRPr="007D7AD8">
        <w:t xml:space="preserve">For a </w:t>
      </w:r>
      <w:proofErr w:type="spellStart"/>
      <w:r w:rsidRPr="007D7AD8">
        <w:t>comment</w:t>
      </w:r>
      <w:proofErr w:type="spellEnd"/>
      <w:r w:rsidRPr="007D7AD8">
        <w:t xml:space="preserve"> on the </w:t>
      </w:r>
      <w:proofErr w:type="spellStart"/>
      <w:r w:rsidRPr="007D7AD8">
        <w:t>asymmetry</w:t>
      </w:r>
      <w:proofErr w:type="spellEnd"/>
      <w:r w:rsidRPr="007D7AD8">
        <w:t xml:space="preserve"> </w:t>
      </w:r>
      <w:proofErr w:type="spellStart"/>
      <w:r w:rsidRPr="007D7AD8">
        <w:t>between</w:t>
      </w:r>
      <w:proofErr w:type="spellEnd"/>
      <w:r w:rsidRPr="00B43340">
        <w:t xml:space="preserve"> </w:t>
      </w:r>
      <w:r>
        <w:t>A</w:t>
      </w:r>
      <w:r w:rsidRPr="00B43340">
        <w:t xml:space="preserve">rt. 3 and </w:t>
      </w:r>
      <w:r>
        <w:t>A</w:t>
      </w:r>
      <w:r w:rsidRPr="00B43340">
        <w:t xml:space="preserve">rt. 4, </w:t>
      </w:r>
      <w:proofErr w:type="spellStart"/>
      <w:r w:rsidRPr="00B43340">
        <w:t>see</w:t>
      </w:r>
      <w:proofErr w:type="spellEnd"/>
      <w:r w:rsidRPr="00B43340">
        <w:t xml:space="preserve"> R. </w:t>
      </w:r>
      <w:r w:rsidRPr="00EE3422">
        <w:rPr>
          <w:smallCaps/>
        </w:rPr>
        <w:t>Caso</w:t>
      </w:r>
      <w:r w:rsidRPr="00B43340">
        <w:t xml:space="preserve">, </w:t>
      </w:r>
      <w:r w:rsidRPr="00B43340">
        <w:rPr>
          <w:i/>
          <w:iCs/>
        </w:rPr>
        <w:t>Il conflitto tra diritto d’autore e ricerca scientifica nella disciplina del text and data mining della direttiva sul mercato unico digitale</w:t>
      </w:r>
      <w:r w:rsidRPr="00B43340">
        <w:t>,</w:t>
      </w:r>
      <w:r w:rsidRPr="00EE3422">
        <w:t xml:space="preserve"> Trento </w:t>
      </w:r>
      <w:proofErr w:type="spellStart"/>
      <w:r w:rsidRPr="00EE3422">
        <w:t>LawTech</w:t>
      </w:r>
      <w:proofErr w:type="spellEnd"/>
      <w:r w:rsidRPr="00EE3422">
        <w:t xml:space="preserve"> </w:t>
      </w:r>
      <w:proofErr w:type="spellStart"/>
      <w:r w:rsidRPr="00EE3422">
        <w:t>Research</w:t>
      </w:r>
      <w:proofErr w:type="spellEnd"/>
      <w:r w:rsidRPr="00EE3422">
        <w:t xml:space="preserve"> Paper n</w:t>
      </w:r>
      <w:r>
        <w:t>o</w:t>
      </w:r>
      <w:r w:rsidRPr="00EE3422">
        <w:t>. 38</w:t>
      </w:r>
      <w:r>
        <w:t>, 2020,</w:t>
      </w:r>
      <w:r w:rsidRPr="00B43340">
        <w:t xml:space="preserve"> </w:t>
      </w:r>
      <w:r>
        <w:t xml:space="preserve">p. </w:t>
      </w:r>
      <w:r w:rsidRPr="00B43340">
        <w:t>9.</w:t>
      </w:r>
    </w:p>
  </w:footnote>
  <w:footnote w:id="47">
    <w:p w14:paraId="27892404" w14:textId="77777777" w:rsidR="00F819B0" w:rsidRPr="00D73C8A" w:rsidRDefault="00F819B0" w:rsidP="00651F9B">
      <w:pPr>
        <w:pStyle w:val="Testonotaapidipagina"/>
        <w:jc w:val="both"/>
        <w:rPr>
          <w:lang w:val="en-GB"/>
        </w:rPr>
      </w:pPr>
      <w:r>
        <w:rPr>
          <w:rStyle w:val="Rimandonotaapidipagina"/>
        </w:rPr>
        <w:footnoteRef/>
      </w:r>
      <w:r w:rsidRPr="00D73C8A">
        <w:rPr>
          <w:lang w:val="en-GB"/>
        </w:rPr>
        <w:t xml:space="preserve"> </w:t>
      </w:r>
      <w:r>
        <w:rPr>
          <w:lang w:val="en-GB"/>
        </w:rPr>
        <w:t xml:space="preserve">See the definitions given in Recitals 14 and 18 of the DSM Directive and the comments of </w:t>
      </w:r>
      <w:r w:rsidRPr="00D73C8A">
        <w:rPr>
          <w:lang w:val="en-GB"/>
        </w:rPr>
        <w:t xml:space="preserve">B. </w:t>
      </w:r>
      <w:proofErr w:type="spellStart"/>
      <w:r w:rsidRPr="00EE3422">
        <w:rPr>
          <w:smallCaps/>
          <w:lang w:val="en-GB"/>
        </w:rPr>
        <w:t>Hugenholtz</w:t>
      </w:r>
      <w:proofErr w:type="spellEnd"/>
      <w:r w:rsidRPr="00D73C8A">
        <w:rPr>
          <w:lang w:val="en-GB"/>
        </w:rPr>
        <w:t xml:space="preserve">, </w:t>
      </w:r>
      <w:r w:rsidRPr="00D73C8A">
        <w:rPr>
          <w:i/>
          <w:iCs/>
          <w:lang w:val="en-GB"/>
        </w:rPr>
        <w:t>The New Copyright Directive: Text and Data Mining (Articles 3 and 4)</w:t>
      </w:r>
      <w:r w:rsidRPr="00D73C8A">
        <w:rPr>
          <w:lang w:val="en-GB"/>
        </w:rPr>
        <w:t xml:space="preserve">, in </w:t>
      </w:r>
      <w:r w:rsidRPr="0012522F">
        <w:rPr>
          <w:i/>
          <w:iCs/>
          <w:lang w:val="en-GB"/>
        </w:rPr>
        <w:t>Kluwer Copyright Blog</w:t>
      </w:r>
      <w:r w:rsidRPr="00D73C8A">
        <w:rPr>
          <w:lang w:val="en-GB"/>
        </w:rPr>
        <w:t>,</w:t>
      </w:r>
      <w:r>
        <w:rPr>
          <w:lang w:val="en-GB"/>
        </w:rPr>
        <w:t xml:space="preserve"> </w:t>
      </w:r>
      <w:r w:rsidRPr="00D73C8A">
        <w:rPr>
          <w:lang w:val="en-GB"/>
        </w:rPr>
        <w:t>July 24</w:t>
      </w:r>
      <w:r w:rsidRPr="00EE3422">
        <w:rPr>
          <w:vertAlign w:val="superscript"/>
          <w:lang w:val="en-GB"/>
        </w:rPr>
        <w:t>th</w:t>
      </w:r>
      <w:r>
        <w:rPr>
          <w:lang w:val="en-GB"/>
        </w:rPr>
        <w:t xml:space="preserve"> </w:t>
      </w:r>
      <w:r w:rsidRPr="00D73C8A">
        <w:rPr>
          <w:lang w:val="en-GB"/>
        </w:rPr>
        <w:t>2019</w:t>
      </w:r>
      <w:r>
        <w:rPr>
          <w:lang w:val="en-GB"/>
        </w:rPr>
        <w:t xml:space="preserve">, </w:t>
      </w:r>
      <w:hyperlink r:id="rId10" w:history="1">
        <w:r w:rsidRPr="003250AB">
          <w:rPr>
            <w:rStyle w:val="Collegamentoipertestuale"/>
            <w:lang w:val="en-GB"/>
          </w:rPr>
          <w:t>http://copyrightblog.kluweriplaw.com/2019/07/24/the-new-copyright-directive-text-and-data-mining-articles-3-and-4/</w:t>
        </w:r>
      </w:hyperlink>
      <w:r>
        <w:rPr>
          <w:lang w:val="en-GB"/>
        </w:rPr>
        <w:t>,</w:t>
      </w:r>
      <w:r w:rsidRPr="004A6C32">
        <w:rPr>
          <w:lang w:val="en-GB"/>
        </w:rPr>
        <w:t xml:space="preserve"> last accessed on </w:t>
      </w:r>
      <w:r>
        <w:rPr>
          <w:lang w:val="en-GB"/>
        </w:rPr>
        <w:t xml:space="preserve">25 </w:t>
      </w:r>
      <w:r w:rsidRPr="004A6C32">
        <w:rPr>
          <w:lang w:val="en-GB"/>
        </w:rPr>
        <w:t>July 2020</w:t>
      </w:r>
      <w:r w:rsidRPr="00EE3422">
        <w:rPr>
          <w:smallCaps/>
          <w:lang w:val="en-GB"/>
        </w:rPr>
        <w:t xml:space="preserve">; Μ. </w:t>
      </w:r>
      <w:proofErr w:type="spellStart"/>
      <w:r w:rsidRPr="00EE3422">
        <w:rPr>
          <w:smallCaps/>
          <w:lang w:val="en-GB"/>
        </w:rPr>
        <w:t>Bottis</w:t>
      </w:r>
      <w:proofErr w:type="spellEnd"/>
      <w:r w:rsidRPr="00EE3422">
        <w:rPr>
          <w:smallCaps/>
          <w:lang w:val="en-GB"/>
        </w:rPr>
        <w:t xml:space="preserve">, M. Papadopoulos, C. </w:t>
      </w:r>
      <w:proofErr w:type="spellStart"/>
      <w:r w:rsidRPr="00EE3422">
        <w:rPr>
          <w:smallCaps/>
          <w:lang w:val="en-GB"/>
        </w:rPr>
        <w:t>Zampakolas</w:t>
      </w:r>
      <w:proofErr w:type="spellEnd"/>
      <w:r w:rsidRPr="00EE3422">
        <w:rPr>
          <w:smallCaps/>
          <w:lang w:val="en-GB"/>
        </w:rPr>
        <w:t xml:space="preserve">, P. </w:t>
      </w:r>
      <w:proofErr w:type="spellStart"/>
      <w:r w:rsidRPr="00EE3422">
        <w:rPr>
          <w:smallCaps/>
          <w:lang w:val="en-GB"/>
        </w:rPr>
        <w:t>Ganatsiou</w:t>
      </w:r>
      <w:proofErr w:type="spellEnd"/>
      <w:r w:rsidRPr="00762F3B">
        <w:rPr>
          <w:lang w:val="en-GB"/>
        </w:rPr>
        <w:t xml:space="preserve">, </w:t>
      </w:r>
      <w:r w:rsidRPr="00762F3B">
        <w:rPr>
          <w:i/>
          <w:iCs/>
          <w:lang w:val="en-GB"/>
        </w:rPr>
        <w:t>Text and Data Mining in Directive 2019/790/EU Enhancing Web-Harvesting and Web-Archiving in Libraries and Archives</w:t>
      </w:r>
      <w:r w:rsidRPr="00762F3B">
        <w:rPr>
          <w:lang w:val="en-GB"/>
        </w:rPr>
        <w:t xml:space="preserve">, in </w:t>
      </w:r>
      <w:r w:rsidRPr="00762F3B">
        <w:rPr>
          <w:i/>
          <w:iCs/>
          <w:lang w:val="en-GB"/>
        </w:rPr>
        <w:t>Open Journal of Philosophy</w:t>
      </w:r>
      <w:r w:rsidRPr="00762F3B">
        <w:rPr>
          <w:lang w:val="en-GB"/>
        </w:rPr>
        <w:t xml:space="preserve"> 2019,</w:t>
      </w:r>
      <w:r>
        <w:rPr>
          <w:lang w:val="en-GB"/>
        </w:rPr>
        <w:t xml:space="preserve"> p.</w:t>
      </w:r>
      <w:r w:rsidRPr="00762F3B">
        <w:rPr>
          <w:lang w:val="en-GB"/>
        </w:rPr>
        <w:t xml:space="preserve"> 388.</w:t>
      </w:r>
    </w:p>
  </w:footnote>
  <w:footnote w:id="48">
    <w:p w14:paraId="533768F2" w14:textId="77777777" w:rsidR="00F819B0" w:rsidRPr="002D0E75" w:rsidRDefault="00F819B0" w:rsidP="00651F9B">
      <w:pPr>
        <w:pStyle w:val="Testonotaapidipagina"/>
        <w:jc w:val="both"/>
      </w:pPr>
      <w:r>
        <w:rPr>
          <w:rStyle w:val="Rimandonotaapidipagina"/>
        </w:rPr>
        <w:footnoteRef/>
      </w:r>
      <w:r w:rsidRPr="00F621D0">
        <w:t xml:space="preserve"> </w:t>
      </w:r>
      <w:r w:rsidRPr="00F621D0">
        <w:rPr>
          <w:smallCaps/>
        </w:rPr>
        <w:t xml:space="preserve">C. Geiger, G. Frosio, O. </w:t>
      </w:r>
      <w:proofErr w:type="spellStart"/>
      <w:r w:rsidRPr="00F621D0">
        <w:rPr>
          <w:smallCaps/>
        </w:rPr>
        <w:t>Bulayenko</w:t>
      </w:r>
      <w:proofErr w:type="spellEnd"/>
      <w:r w:rsidRPr="00F621D0">
        <w:rPr>
          <w:smallCaps/>
        </w:rPr>
        <w:t>,</w:t>
      </w:r>
      <w:r w:rsidRPr="00F621D0">
        <w:t xml:space="preserve"> </w:t>
      </w:r>
      <w:r w:rsidRPr="00F621D0">
        <w:rPr>
          <w:i/>
          <w:iCs/>
        </w:rPr>
        <w:t xml:space="preserve">Text and Data Mining: </w:t>
      </w:r>
      <w:proofErr w:type="spellStart"/>
      <w:r w:rsidRPr="00F621D0">
        <w:rPr>
          <w:i/>
          <w:iCs/>
        </w:rPr>
        <w:t>articles</w:t>
      </w:r>
      <w:proofErr w:type="spellEnd"/>
      <w:r w:rsidRPr="00F621D0">
        <w:rPr>
          <w:i/>
          <w:iCs/>
        </w:rPr>
        <w:t xml:space="preserve"> 3 and 4 of the Directive 2019/790/EU</w:t>
      </w:r>
      <w:r w:rsidRPr="00F621D0">
        <w:t xml:space="preserve">, </w:t>
      </w:r>
      <w:proofErr w:type="spellStart"/>
      <w:r w:rsidRPr="00F621D0">
        <w:t>supra</w:t>
      </w:r>
      <w:proofErr w:type="spellEnd"/>
      <w:r w:rsidRPr="00F621D0">
        <w:t xml:space="preserve"> </w:t>
      </w:r>
      <w:proofErr w:type="spellStart"/>
      <w:r w:rsidRPr="00F621D0">
        <w:t>at</w:t>
      </w:r>
      <w:proofErr w:type="spellEnd"/>
      <w:r w:rsidRPr="00F621D0">
        <w:t xml:space="preserve"> note 17, p, 27; S. </w:t>
      </w:r>
      <w:proofErr w:type="spellStart"/>
      <w:r w:rsidRPr="00EE3422">
        <w:rPr>
          <w:smallCaps/>
        </w:rPr>
        <w:t>Scalzini</w:t>
      </w:r>
      <w:proofErr w:type="spellEnd"/>
      <w:r w:rsidRPr="00A72C25">
        <w:t xml:space="preserve">, </w:t>
      </w:r>
      <w:r w:rsidRPr="00A72C25">
        <w:rPr>
          <w:i/>
          <w:iCs/>
        </w:rPr>
        <w:t xml:space="preserve">L’estrazione di dati e di testo per finalità commerciali dai contenuti degli utenti. Algoritmi, proprietà </w:t>
      </w:r>
      <w:r w:rsidRPr="002D0E75">
        <w:rPr>
          <w:i/>
          <w:iCs/>
        </w:rPr>
        <w:t>intellettuale e autonomia negoziale</w:t>
      </w:r>
      <w:r w:rsidRPr="002D0E75">
        <w:t xml:space="preserve">, in </w:t>
      </w:r>
      <w:r w:rsidRPr="002D0E75">
        <w:rPr>
          <w:i/>
          <w:iCs/>
        </w:rPr>
        <w:t>Analisi Giuridica dell'Economia</w:t>
      </w:r>
      <w:r w:rsidRPr="002D0E75">
        <w:t xml:space="preserve"> 2019, p. 416.</w:t>
      </w:r>
    </w:p>
  </w:footnote>
  <w:footnote w:id="49">
    <w:p w14:paraId="0FC1EE4C" w14:textId="77777777" w:rsidR="00F819B0" w:rsidRPr="002D0E75" w:rsidRDefault="00F819B0" w:rsidP="00651F9B">
      <w:pPr>
        <w:pStyle w:val="Nessunaspaziatura"/>
        <w:jc w:val="both"/>
        <w:rPr>
          <w:lang w:val="en-GB"/>
        </w:rPr>
      </w:pPr>
      <w:r w:rsidRPr="002D0E75">
        <w:rPr>
          <w:rStyle w:val="Rimandonotaapidipagina"/>
          <w:sz w:val="20"/>
          <w:szCs w:val="20"/>
        </w:rPr>
        <w:footnoteRef/>
      </w:r>
      <w:r w:rsidRPr="002D0E75">
        <w:rPr>
          <w:sz w:val="20"/>
          <w:szCs w:val="20"/>
          <w:lang w:val="en-GB"/>
        </w:rPr>
        <w:t xml:space="preserve"> For a comment on these provisions</w:t>
      </w:r>
      <w:r>
        <w:rPr>
          <w:sz w:val="20"/>
          <w:szCs w:val="20"/>
          <w:lang w:val="en-GB"/>
        </w:rPr>
        <w:t>,</w:t>
      </w:r>
      <w:r w:rsidRPr="002D0E75">
        <w:rPr>
          <w:sz w:val="20"/>
          <w:szCs w:val="20"/>
          <w:lang w:val="en-GB"/>
        </w:rPr>
        <w:t xml:space="preserve"> see </w:t>
      </w:r>
      <w:r w:rsidRPr="002D0E75">
        <w:rPr>
          <w:smallCaps/>
          <w:sz w:val="20"/>
          <w:szCs w:val="20"/>
          <w:lang w:val="en-GB"/>
        </w:rPr>
        <w:t xml:space="preserve">C. Geiger, G. </w:t>
      </w:r>
      <w:proofErr w:type="spellStart"/>
      <w:r w:rsidRPr="002D0E75">
        <w:rPr>
          <w:smallCaps/>
          <w:sz w:val="20"/>
          <w:szCs w:val="20"/>
          <w:lang w:val="en-GB"/>
        </w:rPr>
        <w:t>Frosio</w:t>
      </w:r>
      <w:proofErr w:type="spellEnd"/>
      <w:r w:rsidRPr="002D0E75">
        <w:rPr>
          <w:smallCaps/>
          <w:sz w:val="20"/>
          <w:szCs w:val="20"/>
          <w:lang w:val="en-GB"/>
        </w:rPr>
        <w:t xml:space="preserve">, O. </w:t>
      </w:r>
      <w:proofErr w:type="spellStart"/>
      <w:r w:rsidRPr="002D0E75">
        <w:rPr>
          <w:smallCaps/>
          <w:sz w:val="20"/>
          <w:szCs w:val="20"/>
          <w:lang w:val="en-GB"/>
        </w:rPr>
        <w:t>Bulayenko</w:t>
      </w:r>
      <w:proofErr w:type="spellEnd"/>
      <w:r w:rsidRPr="002D0E75">
        <w:rPr>
          <w:sz w:val="20"/>
          <w:szCs w:val="20"/>
          <w:lang w:val="en-GB"/>
        </w:rPr>
        <w:t xml:space="preserve">, </w:t>
      </w:r>
      <w:r w:rsidRPr="002D0E75">
        <w:rPr>
          <w:i/>
          <w:iCs/>
          <w:sz w:val="20"/>
          <w:szCs w:val="20"/>
          <w:lang w:val="en-GB"/>
        </w:rPr>
        <w:t>Facilitating Wider Access to Europe’s Cultural Heritage in the Digital Environment: Opinion of the CEIPI on the European Commission’s Copyright Reform Proposal, with a Focus on Access to Out-of-Commerce Works</w:t>
      </w:r>
      <w:r w:rsidRPr="002D0E75">
        <w:rPr>
          <w:sz w:val="20"/>
          <w:szCs w:val="20"/>
          <w:lang w:val="en-GB"/>
        </w:rPr>
        <w:t xml:space="preserve">, Centre for International Intellectual Property Studies (CEIPI) Research Paper No. 2018-11;  </w:t>
      </w:r>
      <w:r w:rsidRPr="002D0E75">
        <w:rPr>
          <w:smallCaps/>
          <w:sz w:val="20"/>
          <w:szCs w:val="20"/>
          <w:lang w:val="en-GB"/>
        </w:rPr>
        <w:t xml:space="preserve">Riis T., </w:t>
      </w:r>
      <w:proofErr w:type="spellStart"/>
      <w:r w:rsidRPr="002D0E75">
        <w:rPr>
          <w:smallCaps/>
          <w:sz w:val="20"/>
          <w:szCs w:val="20"/>
          <w:lang w:val="en-GB"/>
        </w:rPr>
        <w:t>Rognstad</w:t>
      </w:r>
      <w:proofErr w:type="spellEnd"/>
      <w:r w:rsidRPr="002D0E75">
        <w:rPr>
          <w:smallCaps/>
          <w:sz w:val="20"/>
          <w:szCs w:val="20"/>
          <w:lang w:val="en-GB"/>
        </w:rPr>
        <w:t xml:space="preserve"> O. et Al.,  </w:t>
      </w:r>
      <w:r w:rsidRPr="002D0E75">
        <w:rPr>
          <w:i/>
          <w:iCs/>
          <w:sz w:val="20"/>
          <w:szCs w:val="20"/>
          <w:lang w:val="en-GB"/>
        </w:rPr>
        <w:t>Comment of the European Copyright Society on the Implementation of the Extended Collective Licensing Rules (Arts. 8 and 12) of Directive (EU) 2019/790 on Copyright in the Digital Single Marke</w:t>
      </w:r>
      <w:r w:rsidRPr="002D0E75">
        <w:rPr>
          <w:sz w:val="20"/>
          <w:szCs w:val="20"/>
          <w:lang w:val="en-GB"/>
        </w:rPr>
        <w:t xml:space="preserve">t, in </w:t>
      </w:r>
      <w:r w:rsidRPr="00405E02">
        <w:rPr>
          <w:i/>
          <w:iCs/>
          <w:sz w:val="20"/>
          <w:szCs w:val="20"/>
          <w:lang w:val="en-GB"/>
        </w:rPr>
        <w:t>SSRN Electronic Journal</w:t>
      </w:r>
      <w:r w:rsidRPr="002D0E75">
        <w:rPr>
          <w:sz w:val="20"/>
          <w:szCs w:val="20"/>
          <w:lang w:val="en-GB"/>
        </w:rPr>
        <w:t xml:space="preserve">, </w:t>
      </w:r>
      <w:r>
        <w:rPr>
          <w:sz w:val="20"/>
          <w:szCs w:val="20"/>
          <w:lang w:val="en-GB"/>
        </w:rPr>
        <w:t xml:space="preserve">11 </w:t>
      </w:r>
      <w:r w:rsidRPr="002D0E75">
        <w:rPr>
          <w:sz w:val="20"/>
          <w:szCs w:val="20"/>
          <w:lang w:val="en-GB"/>
        </w:rPr>
        <w:t>June 2020.</w:t>
      </w:r>
    </w:p>
  </w:footnote>
  <w:footnote w:id="50">
    <w:p w14:paraId="1DDFA00B" w14:textId="77777777" w:rsidR="00F819B0" w:rsidRPr="002D0E75" w:rsidRDefault="00F819B0" w:rsidP="00651F9B">
      <w:pPr>
        <w:pStyle w:val="Nessunaspaziatura"/>
        <w:jc w:val="both"/>
        <w:rPr>
          <w:sz w:val="20"/>
          <w:szCs w:val="20"/>
          <w:lang w:val="en-GB"/>
        </w:rPr>
      </w:pPr>
      <w:r w:rsidRPr="002D0E75">
        <w:rPr>
          <w:rStyle w:val="Rimandonotaapidipagina"/>
          <w:sz w:val="20"/>
          <w:szCs w:val="20"/>
        </w:rPr>
        <w:footnoteRef/>
      </w:r>
      <w:r w:rsidRPr="002D0E75">
        <w:rPr>
          <w:sz w:val="20"/>
          <w:szCs w:val="20"/>
          <w:lang w:val="en-GB"/>
        </w:rPr>
        <w:t xml:space="preserve"> Art. 8.4 extends such provision </w:t>
      </w:r>
      <w:r>
        <w:rPr>
          <w:sz w:val="20"/>
          <w:szCs w:val="20"/>
          <w:lang w:val="en-GB"/>
        </w:rPr>
        <w:t>to</w:t>
      </w:r>
      <w:r w:rsidRPr="002D0E75">
        <w:rPr>
          <w:sz w:val="20"/>
          <w:szCs w:val="20"/>
          <w:lang w:val="en-GB"/>
        </w:rPr>
        <w:t xml:space="preserve"> the exceptions </w:t>
      </w:r>
      <w:r>
        <w:rPr>
          <w:sz w:val="20"/>
          <w:szCs w:val="20"/>
          <w:lang w:val="en-GB"/>
        </w:rPr>
        <w:t>contained in A</w:t>
      </w:r>
      <w:r w:rsidRPr="002D0E75">
        <w:rPr>
          <w:sz w:val="20"/>
          <w:szCs w:val="20"/>
          <w:lang w:val="en-GB"/>
        </w:rPr>
        <w:t>rt. 8.2 pertaining t</w:t>
      </w:r>
      <w:r>
        <w:rPr>
          <w:sz w:val="20"/>
          <w:szCs w:val="20"/>
          <w:lang w:val="en-GB"/>
        </w:rPr>
        <w:t>o</w:t>
      </w:r>
      <w:r w:rsidRPr="002D0E75">
        <w:rPr>
          <w:sz w:val="20"/>
          <w:szCs w:val="20"/>
          <w:lang w:val="en-GB"/>
        </w:rPr>
        <w:t xml:space="preserve"> cases in which there is no representative CMO that can issue the ECL.</w:t>
      </w:r>
    </w:p>
  </w:footnote>
  <w:footnote w:id="51">
    <w:p w14:paraId="270B95F2" w14:textId="77777777" w:rsidR="00F819B0" w:rsidRPr="001C26EA" w:rsidRDefault="00F819B0" w:rsidP="00651F9B">
      <w:pPr>
        <w:pStyle w:val="Testonotaapidipagina"/>
        <w:jc w:val="both"/>
        <w:rPr>
          <w:lang w:val="en-GB"/>
        </w:rPr>
      </w:pPr>
      <w:r>
        <w:rPr>
          <w:rStyle w:val="Rimandonotaapidipagina"/>
        </w:rPr>
        <w:footnoteRef/>
      </w:r>
      <w:r w:rsidRPr="001C26EA">
        <w:rPr>
          <w:lang w:val="en-GB"/>
        </w:rPr>
        <w:t xml:space="preserve"> N. </w:t>
      </w:r>
      <w:proofErr w:type="spellStart"/>
      <w:r w:rsidRPr="00062BFA">
        <w:rPr>
          <w:smallCaps/>
          <w:lang w:val="en-GB"/>
        </w:rPr>
        <w:t>Turkewitz</w:t>
      </w:r>
      <w:proofErr w:type="spellEnd"/>
      <w:r w:rsidRPr="001C26EA">
        <w:rPr>
          <w:lang w:val="en-GB"/>
        </w:rPr>
        <w:t xml:space="preserve">, </w:t>
      </w:r>
      <w:r w:rsidRPr="001C26EA">
        <w:rPr>
          <w:i/>
          <w:iCs/>
          <w:lang w:val="en-GB"/>
        </w:rPr>
        <w:t>Sustainable Text and Data Mining: A Look at the Recent EU Copyright Directive</w:t>
      </w:r>
      <w:r w:rsidRPr="001C26EA">
        <w:rPr>
          <w:lang w:val="en-GB"/>
        </w:rPr>
        <w:t xml:space="preserve">, </w:t>
      </w:r>
      <w:r>
        <w:rPr>
          <w:lang w:val="en-GB"/>
        </w:rPr>
        <w:t xml:space="preserve">16 May </w:t>
      </w:r>
      <w:r w:rsidRPr="001C26EA">
        <w:rPr>
          <w:lang w:val="en-GB"/>
        </w:rPr>
        <w:t xml:space="preserve">2019, </w:t>
      </w:r>
      <w:hyperlink r:id="rId11" w:history="1">
        <w:r w:rsidRPr="003250AB">
          <w:rPr>
            <w:rStyle w:val="Collegamentoipertestuale"/>
            <w:lang w:val="en-GB"/>
          </w:rPr>
          <w:t>https://medium.com/@nturkewitz_56674/sustainabletext-and-data-mining-an-look-at-the-recent-eu-copyright-directiveea13ba05f60</w:t>
        </w:r>
      </w:hyperlink>
      <w:r>
        <w:rPr>
          <w:lang w:val="en-GB"/>
        </w:rPr>
        <w:t xml:space="preserve">, </w:t>
      </w:r>
      <w:r w:rsidRPr="00980389">
        <w:rPr>
          <w:lang w:val="en-GB"/>
        </w:rPr>
        <w:t xml:space="preserve">last accessed on </w:t>
      </w:r>
      <w:r>
        <w:rPr>
          <w:lang w:val="en-GB"/>
        </w:rPr>
        <w:t xml:space="preserve">25 </w:t>
      </w:r>
      <w:r w:rsidRPr="00980389">
        <w:rPr>
          <w:lang w:val="en-GB"/>
        </w:rPr>
        <w:t>July 2020.</w:t>
      </w:r>
    </w:p>
  </w:footnote>
  <w:footnote w:id="52">
    <w:p w14:paraId="0284377D" w14:textId="77777777" w:rsidR="00F819B0" w:rsidRPr="007B106B" w:rsidRDefault="00F819B0" w:rsidP="00651F9B">
      <w:pPr>
        <w:pStyle w:val="Testonotaapidipagina"/>
        <w:rPr>
          <w:lang w:val="en-GB"/>
        </w:rPr>
      </w:pPr>
      <w:r>
        <w:rPr>
          <w:rStyle w:val="Rimandonotaapidipagina"/>
        </w:rPr>
        <w:footnoteRef/>
      </w:r>
      <w:r w:rsidRPr="007B106B">
        <w:rPr>
          <w:lang w:val="en-GB"/>
        </w:rPr>
        <w:t xml:space="preserve"> “</w:t>
      </w:r>
      <w:r w:rsidRPr="007B106B">
        <w:rPr>
          <w:i/>
          <w:iCs/>
          <w:lang w:val="en-GB"/>
        </w:rPr>
        <w:t>[…]</w:t>
      </w:r>
      <w:r w:rsidRPr="007B106B">
        <w:rPr>
          <w:lang w:val="en-GB"/>
        </w:rPr>
        <w:t xml:space="preserve"> </w:t>
      </w:r>
      <w:r w:rsidRPr="007B106B">
        <w:rPr>
          <w:i/>
          <w:iCs/>
          <w:lang w:val="en-GB"/>
        </w:rPr>
        <w:t xml:space="preserve">In the case of content that has been made publicly available online, it should only be considered appropriate to reserve those rights </w:t>
      </w:r>
      <w:proofErr w:type="gramStart"/>
      <w:r w:rsidRPr="007B106B">
        <w:rPr>
          <w:i/>
          <w:iCs/>
          <w:lang w:val="en-GB"/>
        </w:rPr>
        <w:t>by the use of</w:t>
      </w:r>
      <w:proofErr w:type="gramEnd"/>
      <w:r w:rsidRPr="007B106B">
        <w:rPr>
          <w:i/>
          <w:iCs/>
          <w:lang w:val="en-GB"/>
        </w:rPr>
        <w:t xml:space="preserve"> machine-readable means, including metadata and terms and conditions of a website or a service. Other uses should not be affected by the reservation of rights for the purposes of text and data mining. In other cases, it can be appropriate to reserve the rights by other means, such as contractual agreements or a unilateral declaration</w:t>
      </w:r>
      <w:r>
        <w:rPr>
          <w:i/>
          <w:iCs/>
          <w:lang w:val="en-GB"/>
        </w:rPr>
        <w:t xml:space="preserve"> </w:t>
      </w:r>
      <w:r w:rsidRPr="007B106B">
        <w:rPr>
          <w:i/>
          <w:iCs/>
          <w:lang w:val="en-GB"/>
        </w:rPr>
        <w:t>[…]</w:t>
      </w:r>
      <w:r w:rsidRPr="007B106B">
        <w:rPr>
          <w:lang w:val="en-GB"/>
        </w:rPr>
        <w:t>”.</w:t>
      </w:r>
    </w:p>
  </w:footnote>
  <w:footnote w:id="53">
    <w:p w14:paraId="25517055" w14:textId="77777777" w:rsidR="00F819B0" w:rsidRPr="005621D0" w:rsidRDefault="00F819B0" w:rsidP="00651F9B">
      <w:pPr>
        <w:pStyle w:val="Testonotaapidipagina"/>
        <w:jc w:val="both"/>
        <w:rPr>
          <w:lang w:val="en-GB"/>
        </w:rPr>
      </w:pPr>
      <w:r>
        <w:rPr>
          <w:rStyle w:val="Rimandonotaapidipagina"/>
        </w:rPr>
        <w:footnoteRef/>
      </w:r>
      <w:r w:rsidRPr="005621D0">
        <w:rPr>
          <w:lang w:val="en-GB"/>
        </w:rPr>
        <w:t xml:space="preserve"> </w:t>
      </w:r>
      <w:r>
        <w:rPr>
          <w:lang w:val="en-GB"/>
        </w:rPr>
        <w:t>The exception is regulated in the Italian legal system by Art. 65.1 Law 633/1941 and Art. 7 of the “</w:t>
      </w:r>
      <w:proofErr w:type="spellStart"/>
      <w:r>
        <w:rPr>
          <w:lang w:val="en-GB"/>
        </w:rPr>
        <w:t>Regolamento</w:t>
      </w:r>
      <w:proofErr w:type="spellEnd"/>
      <w:r>
        <w:rPr>
          <w:lang w:val="en-GB"/>
        </w:rPr>
        <w:t xml:space="preserve"> per </w:t>
      </w:r>
      <w:proofErr w:type="spellStart"/>
      <w:r>
        <w:rPr>
          <w:lang w:val="en-GB"/>
        </w:rPr>
        <w:t>l’esecuzione</w:t>
      </w:r>
      <w:proofErr w:type="spellEnd"/>
      <w:r>
        <w:rPr>
          <w:lang w:val="en-GB"/>
        </w:rPr>
        <w:t xml:space="preserve"> </w:t>
      </w:r>
      <w:proofErr w:type="spellStart"/>
      <w:r>
        <w:rPr>
          <w:lang w:val="en-GB"/>
        </w:rPr>
        <w:t>della</w:t>
      </w:r>
      <w:proofErr w:type="spellEnd"/>
      <w:r>
        <w:rPr>
          <w:lang w:val="en-GB"/>
        </w:rPr>
        <w:t xml:space="preserve"> </w:t>
      </w:r>
      <w:proofErr w:type="spellStart"/>
      <w:r>
        <w:rPr>
          <w:lang w:val="en-GB"/>
        </w:rPr>
        <w:t>legge</w:t>
      </w:r>
      <w:proofErr w:type="spellEnd"/>
      <w:r>
        <w:rPr>
          <w:lang w:val="en-GB"/>
        </w:rPr>
        <w:t xml:space="preserve"> 22 </w:t>
      </w:r>
      <w:proofErr w:type="spellStart"/>
      <w:r>
        <w:rPr>
          <w:lang w:val="en-GB"/>
        </w:rPr>
        <w:t>aprile</w:t>
      </w:r>
      <w:proofErr w:type="spellEnd"/>
      <w:r>
        <w:rPr>
          <w:lang w:val="en-GB"/>
        </w:rPr>
        <w:t xml:space="preserve"> 1941, n. 633”. </w:t>
      </w:r>
    </w:p>
  </w:footnote>
  <w:footnote w:id="54">
    <w:p w14:paraId="404F3004" w14:textId="77777777" w:rsidR="00F819B0" w:rsidRPr="00B60667" w:rsidRDefault="00F819B0" w:rsidP="00651F9B">
      <w:pPr>
        <w:pStyle w:val="Testonotaapidipagina"/>
        <w:jc w:val="both"/>
        <w:rPr>
          <w:lang w:val="en-GB"/>
        </w:rPr>
      </w:pPr>
      <w:r>
        <w:rPr>
          <w:rStyle w:val="Rimandonotaapidipagina"/>
        </w:rPr>
        <w:footnoteRef/>
      </w:r>
      <w:r w:rsidRPr="00B60667">
        <w:rPr>
          <w:lang w:val="en-GB"/>
        </w:rPr>
        <w:t xml:space="preserve"> </w:t>
      </w:r>
      <w:r w:rsidRPr="007D1183">
        <w:rPr>
          <w:lang w:val="en-GB"/>
        </w:rPr>
        <w:t>B</w:t>
      </w:r>
      <w:r>
        <w:rPr>
          <w:lang w:val="en-GB"/>
        </w:rPr>
        <w:t>.</w:t>
      </w:r>
      <w:r w:rsidRPr="007D1183">
        <w:rPr>
          <w:lang w:val="en-GB"/>
        </w:rPr>
        <w:t xml:space="preserve"> </w:t>
      </w:r>
      <w:proofErr w:type="spellStart"/>
      <w:r w:rsidRPr="00980389">
        <w:rPr>
          <w:smallCaps/>
          <w:lang w:val="en-GB"/>
        </w:rPr>
        <w:t>Hugenholtz</w:t>
      </w:r>
      <w:proofErr w:type="spellEnd"/>
      <w:r>
        <w:rPr>
          <w:lang w:val="en-GB"/>
        </w:rPr>
        <w:t xml:space="preserve">, </w:t>
      </w:r>
      <w:r w:rsidRPr="007D1183">
        <w:rPr>
          <w:i/>
          <w:iCs/>
          <w:lang w:val="en-GB"/>
        </w:rPr>
        <w:t>The New Copyright Directive: Text and Data Mining (Articles 3 and 4)</w:t>
      </w:r>
      <w:r>
        <w:rPr>
          <w:i/>
          <w:iCs/>
          <w:lang w:val="en-GB"/>
        </w:rPr>
        <w:t xml:space="preserve">, </w:t>
      </w:r>
      <w:r>
        <w:rPr>
          <w:lang w:val="en-GB"/>
        </w:rPr>
        <w:t>supra at note 47</w:t>
      </w:r>
      <w:r w:rsidRPr="004A3F4C">
        <w:rPr>
          <w:lang w:val="en-GB"/>
        </w:rPr>
        <w:t>.</w:t>
      </w:r>
    </w:p>
  </w:footnote>
  <w:footnote w:id="55">
    <w:p w14:paraId="38F1F0B4" w14:textId="77777777" w:rsidR="00F819B0" w:rsidRPr="004A3F4C" w:rsidRDefault="00F819B0" w:rsidP="00651F9B">
      <w:pPr>
        <w:pStyle w:val="Testonotaapidipagina"/>
        <w:jc w:val="both"/>
        <w:rPr>
          <w:lang w:val="en-GB"/>
        </w:rPr>
      </w:pPr>
      <w:r>
        <w:rPr>
          <w:rStyle w:val="Rimandonotaapidipagina"/>
        </w:rPr>
        <w:footnoteRef/>
      </w:r>
      <w:r w:rsidRPr="00F22776">
        <w:rPr>
          <w:lang w:val="en-GB"/>
        </w:rPr>
        <w:t xml:space="preserve"> </w:t>
      </w:r>
      <w:r>
        <w:rPr>
          <w:lang w:val="en-GB"/>
        </w:rPr>
        <w:t xml:space="preserve">For more information about the functioning of these files see </w:t>
      </w:r>
      <w:hyperlink r:id="rId12" w:history="1">
        <w:r w:rsidRPr="003250AB">
          <w:rPr>
            <w:rStyle w:val="Collegamentoipertestuale"/>
            <w:lang w:val="en-GB"/>
          </w:rPr>
          <w:t>http://www.robotstxt.org/robotstxt.html</w:t>
        </w:r>
      </w:hyperlink>
      <w:r>
        <w:rPr>
          <w:lang w:val="en-GB"/>
        </w:rPr>
        <w:t xml:space="preserve">.  </w:t>
      </w:r>
    </w:p>
  </w:footnote>
  <w:footnote w:id="56">
    <w:p w14:paraId="34AC0EC5" w14:textId="77777777" w:rsidR="00F819B0" w:rsidRPr="00C31D7D" w:rsidRDefault="00F819B0" w:rsidP="00651F9B">
      <w:pPr>
        <w:pStyle w:val="Testonotaapidipagina"/>
        <w:jc w:val="both"/>
        <w:rPr>
          <w:lang w:val="en-GB"/>
        </w:rPr>
      </w:pPr>
      <w:r>
        <w:rPr>
          <w:rStyle w:val="Rimandonotaapidipagina"/>
        </w:rPr>
        <w:footnoteRef/>
      </w:r>
      <w:r w:rsidRPr="00C31D7D">
        <w:rPr>
          <w:lang w:val="en-GB"/>
        </w:rPr>
        <w:t xml:space="preserve"> </w:t>
      </w:r>
      <w:r w:rsidRPr="007D4F5C">
        <w:rPr>
          <w:lang w:val="en-GB"/>
        </w:rPr>
        <w:t xml:space="preserve">Unlike </w:t>
      </w:r>
      <w:r>
        <w:rPr>
          <w:lang w:val="en-GB"/>
        </w:rPr>
        <w:t>a</w:t>
      </w:r>
      <w:r w:rsidRPr="007D4F5C">
        <w:rPr>
          <w:lang w:val="en-GB"/>
        </w:rPr>
        <w:t xml:space="preserve"> robots.txt file</w:t>
      </w:r>
      <w:r>
        <w:rPr>
          <w:lang w:val="en-GB"/>
        </w:rPr>
        <w:t>, which</w:t>
      </w:r>
      <w:r w:rsidRPr="007D4F5C">
        <w:rPr>
          <w:lang w:val="en-GB"/>
        </w:rPr>
        <w:t xml:space="preserve"> must be stored </w:t>
      </w:r>
      <w:r>
        <w:rPr>
          <w:lang w:val="en-GB"/>
        </w:rPr>
        <w:t>i</w:t>
      </w:r>
      <w:r w:rsidRPr="007D4F5C">
        <w:rPr>
          <w:lang w:val="en-GB"/>
        </w:rPr>
        <w:t xml:space="preserve">n the root folder of the server on which the pages reside, the use of meta-tags </w:t>
      </w:r>
      <w:r>
        <w:rPr>
          <w:lang w:val="en-GB"/>
        </w:rPr>
        <w:t xml:space="preserve">makes it possible </w:t>
      </w:r>
      <w:r w:rsidRPr="007D4F5C">
        <w:rPr>
          <w:lang w:val="en-GB"/>
        </w:rPr>
        <w:t>to specify instructions for every single web page</w:t>
      </w:r>
      <w:r>
        <w:rPr>
          <w:lang w:val="en-GB"/>
        </w:rPr>
        <w:t>; for more information see</w:t>
      </w:r>
      <w:r w:rsidRPr="007D4F5C">
        <w:rPr>
          <w:lang w:val="en-GB"/>
        </w:rPr>
        <w:t xml:space="preserve"> </w:t>
      </w:r>
      <w:r>
        <w:rPr>
          <w:lang w:val="en-GB"/>
        </w:rPr>
        <w:t>J</w:t>
      </w:r>
      <w:r w:rsidRPr="00980389">
        <w:rPr>
          <w:smallCaps/>
          <w:lang w:val="en-GB"/>
        </w:rPr>
        <w:t xml:space="preserve">. S. </w:t>
      </w:r>
      <w:proofErr w:type="spellStart"/>
      <w:r w:rsidRPr="00980389">
        <w:rPr>
          <w:smallCaps/>
          <w:lang w:val="en-GB"/>
        </w:rPr>
        <w:t>Sieman</w:t>
      </w:r>
      <w:proofErr w:type="spellEnd"/>
      <w:r>
        <w:rPr>
          <w:lang w:val="en-GB"/>
        </w:rPr>
        <w:t>,</w:t>
      </w:r>
      <w:r w:rsidRPr="00C31D7D">
        <w:rPr>
          <w:lang w:val="en-GB"/>
        </w:rPr>
        <w:t xml:space="preserve"> </w:t>
      </w:r>
      <w:r w:rsidRPr="000C3CD1">
        <w:rPr>
          <w:i/>
          <w:iCs/>
          <w:lang w:val="en-GB"/>
        </w:rPr>
        <w:t>Using the Implied License to Inject Common Sense into Digital Copyright</w:t>
      </w:r>
      <w:r>
        <w:rPr>
          <w:i/>
          <w:iCs/>
          <w:lang w:val="en-GB"/>
        </w:rPr>
        <w:t xml:space="preserve">, </w:t>
      </w:r>
      <w:r>
        <w:rPr>
          <w:lang w:val="en-GB"/>
        </w:rPr>
        <w:t xml:space="preserve">in </w:t>
      </w:r>
      <w:r w:rsidRPr="00980389">
        <w:rPr>
          <w:i/>
          <w:iCs/>
          <w:lang w:val="en-GB"/>
        </w:rPr>
        <w:t>North Carolina Law Review</w:t>
      </w:r>
      <w:r>
        <w:rPr>
          <w:lang w:val="en-GB"/>
        </w:rPr>
        <w:t xml:space="preserve"> 2007, Vol. 85, p. 908.</w:t>
      </w:r>
    </w:p>
  </w:footnote>
  <w:footnote w:id="57">
    <w:p w14:paraId="47BF6C30" w14:textId="77777777" w:rsidR="00F819B0" w:rsidRPr="00594115" w:rsidRDefault="00F819B0" w:rsidP="00651F9B">
      <w:pPr>
        <w:pStyle w:val="Testonotaapidipagina"/>
        <w:jc w:val="both"/>
        <w:rPr>
          <w:lang w:val="en-GB"/>
        </w:rPr>
      </w:pPr>
      <w:r>
        <w:rPr>
          <w:rStyle w:val="Rimandonotaapidipagina"/>
        </w:rPr>
        <w:footnoteRef/>
      </w:r>
      <w:r>
        <w:rPr>
          <w:lang w:val="en-GB"/>
        </w:rPr>
        <w:t xml:space="preserve"> For a view of implied licenses as opt-out systems, see </w:t>
      </w:r>
      <w:r w:rsidRPr="00980389">
        <w:rPr>
          <w:smallCaps/>
          <w:lang w:val="en-GB"/>
        </w:rPr>
        <w:t xml:space="preserve">M. I. </w:t>
      </w:r>
      <w:proofErr w:type="spellStart"/>
      <w:r w:rsidRPr="00980389">
        <w:rPr>
          <w:smallCaps/>
          <w:lang w:val="en-GB"/>
        </w:rPr>
        <w:t>Jasiewicz</w:t>
      </w:r>
      <w:proofErr w:type="spellEnd"/>
      <w:r>
        <w:rPr>
          <w:lang w:val="en-GB"/>
        </w:rPr>
        <w:t xml:space="preserve">, </w:t>
      </w:r>
      <w:r w:rsidRPr="00594115">
        <w:rPr>
          <w:i/>
          <w:iCs/>
          <w:lang w:val="en-GB"/>
        </w:rPr>
        <w:t>Copyright Protection in an Opt-Out World: Implied License Doctrine and News</w:t>
      </w:r>
      <w:r>
        <w:rPr>
          <w:i/>
          <w:iCs/>
          <w:lang w:val="en-GB"/>
        </w:rPr>
        <w:t xml:space="preserve"> </w:t>
      </w:r>
      <w:r w:rsidRPr="00594115">
        <w:rPr>
          <w:i/>
          <w:iCs/>
          <w:lang w:val="en-GB"/>
        </w:rPr>
        <w:t>Aggregators</w:t>
      </w:r>
      <w:r>
        <w:rPr>
          <w:lang w:val="en-GB"/>
        </w:rPr>
        <w:t>, in</w:t>
      </w:r>
      <w:r w:rsidRPr="00594115">
        <w:rPr>
          <w:lang w:val="en-GB"/>
        </w:rPr>
        <w:t xml:space="preserve"> </w:t>
      </w:r>
      <w:r w:rsidRPr="00594115">
        <w:rPr>
          <w:i/>
          <w:iCs/>
          <w:lang w:val="en-GB"/>
        </w:rPr>
        <w:t>The Yale Law Journal</w:t>
      </w:r>
      <w:r>
        <w:rPr>
          <w:lang w:val="en-GB"/>
        </w:rPr>
        <w:t xml:space="preserve"> 2012,</w:t>
      </w:r>
      <w:r w:rsidRPr="00594115">
        <w:rPr>
          <w:lang w:val="en-GB"/>
        </w:rPr>
        <w:t xml:space="preserve"> Vol. 122, </w:t>
      </w:r>
      <w:r>
        <w:rPr>
          <w:lang w:val="en-GB"/>
        </w:rPr>
        <w:t>p.</w:t>
      </w:r>
      <w:r w:rsidRPr="00594115">
        <w:rPr>
          <w:lang w:val="en-GB"/>
        </w:rPr>
        <w:t xml:space="preserve"> 837</w:t>
      </w:r>
      <w:r>
        <w:rPr>
          <w:lang w:val="en-GB"/>
        </w:rPr>
        <w:t xml:space="preserve"> ff. and </w:t>
      </w:r>
      <w:r w:rsidRPr="00980389">
        <w:rPr>
          <w:smallCaps/>
          <w:lang w:val="en-GB"/>
        </w:rPr>
        <w:t xml:space="preserve">J. S. </w:t>
      </w:r>
      <w:proofErr w:type="spellStart"/>
      <w:r w:rsidRPr="00980389">
        <w:rPr>
          <w:smallCaps/>
          <w:lang w:val="en-GB"/>
        </w:rPr>
        <w:t>Sieman</w:t>
      </w:r>
      <w:proofErr w:type="spellEnd"/>
      <w:r w:rsidRPr="009D1C71">
        <w:rPr>
          <w:lang w:val="en-GB"/>
        </w:rPr>
        <w:t xml:space="preserve">, </w:t>
      </w:r>
      <w:r w:rsidRPr="009D1C71">
        <w:rPr>
          <w:i/>
          <w:iCs/>
          <w:lang w:val="en-GB"/>
        </w:rPr>
        <w:t>Using the Implied License to Inject Common Sense into Digital Copyright</w:t>
      </w:r>
      <w:r w:rsidRPr="009D1C71">
        <w:rPr>
          <w:lang w:val="en-GB"/>
        </w:rPr>
        <w:t xml:space="preserve">, </w:t>
      </w:r>
      <w:r>
        <w:rPr>
          <w:lang w:val="en-GB"/>
        </w:rPr>
        <w:t xml:space="preserve">supra at note 56, p. 889. </w:t>
      </w:r>
    </w:p>
  </w:footnote>
  <w:footnote w:id="58">
    <w:p w14:paraId="15A6585D" w14:textId="77777777" w:rsidR="00F819B0" w:rsidRPr="000E3579" w:rsidRDefault="00F819B0" w:rsidP="00651F9B">
      <w:pPr>
        <w:pStyle w:val="Testonotaapidipagina"/>
        <w:jc w:val="both"/>
        <w:rPr>
          <w:lang w:val="en-GB"/>
        </w:rPr>
      </w:pPr>
      <w:r>
        <w:rPr>
          <w:rStyle w:val="Rimandonotaapidipagina"/>
        </w:rPr>
        <w:footnoteRef/>
      </w:r>
      <w:r w:rsidRPr="000E3579">
        <w:rPr>
          <w:lang w:val="en-GB"/>
        </w:rPr>
        <w:t xml:space="preserve"> Field v. Google, Inc., 412 </w:t>
      </w:r>
      <w:proofErr w:type="spellStart"/>
      <w:r w:rsidRPr="000E3579">
        <w:rPr>
          <w:lang w:val="en-GB"/>
        </w:rPr>
        <w:t>F.Supp</w:t>
      </w:r>
      <w:proofErr w:type="spellEnd"/>
      <w:r w:rsidRPr="000E3579">
        <w:rPr>
          <w:lang w:val="en-GB"/>
        </w:rPr>
        <w:t>. 2d 1106 (D. Nev. 2006)</w:t>
      </w:r>
      <w:r>
        <w:rPr>
          <w:lang w:val="en-GB"/>
        </w:rPr>
        <w:t xml:space="preserve">. For a comment on this decision, see </w:t>
      </w:r>
      <w:r w:rsidRPr="009D1C71">
        <w:rPr>
          <w:lang w:val="en-GB"/>
        </w:rPr>
        <w:t>J</w:t>
      </w:r>
      <w:r w:rsidRPr="00980389">
        <w:rPr>
          <w:smallCaps/>
          <w:lang w:val="en-GB"/>
        </w:rPr>
        <w:t xml:space="preserve">. S. </w:t>
      </w:r>
      <w:proofErr w:type="spellStart"/>
      <w:r w:rsidRPr="00980389">
        <w:rPr>
          <w:smallCaps/>
          <w:lang w:val="en-GB"/>
        </w:rPr>
        <w:t>Sieman</w:t>
      </w:r>
      <w:proofErr w:type="spellEnd"/>
      <w:r w:rsidRPr="00980389">
        <w:rPr>
          <w:smallCaps/>
          <w:lang w:val="en-GB"/>
        </w:rPr>
        <w:t>,</w:t>
      </w:r>
      <w:r w:rsidRPr="009D1C71">
        <w:rPr>
          <w:lang w:val="en-GB"/>
        </w:rPr>
        <w:t xml:space="preserve"> </w:t>
      </w:r>
      <w:r w:rsidRPr="009D1C71">
        <w:rPr>
          <w:i/>
          <w:iCs/>
          <w:lang w:val="en-GB"/>
        </w:rPr>
        <w:t>Using the Implied License to Inject Common Sense into Digital Copyright</w:t>
      </w:r>
      <w:r w:rsidRPr="009D1C71">
        <w:rPr>
          <w:lang w:val="en-GB"/>
        </w:rPr>
        <w:t xml:space="preserve">, </w:t>
      </w:r>
      <w:r>
        <w:rPr>
          <w:lang w:val="en-GB"/>
        </w:rPr>
        <w:t>supra at note 56</w:t>
      </w:r>
      <w:r w:rsidRPr="009D1C71">
        <w:rPr>
          <w:lang w:val="en-GB"/>
        </w:rPr>
        <w:t xml:space="preserve">, </w:t>
      </w:r>
      <w:r>
        <w:rPr>
          <w:lang w:val="en-GB"/>
        </w:rPr>
        <w:t xml:space="preserve">p. </w:t>
      </w:r>
      <w:r w:rsidRPr="009D1C71">
        <w:rPr>
          <w:lang w:val="en-GB"/>
        </w:rPr>
        <w:t>90</w:t>
      </w:r>
      <w:r>
        <w:rPr>
          <w:lang w:val="en-GB"/>
        </w:rPr>
        <w:t>6 ff</w:t>
      </w:r>
      <w:r w:rsidRPr="009D1C71">
        <w:rPr>
          <w:lang w:val="en-GB"/>
        </w:rPr>
        <w:t>.</w:t>
      </w:r>
    </w:p>
  </w:footnote>
  <w:footnote w:id="59">
    <w:p w14:paraId="2998A2FB" w14:textId="77777777" w:rsidR="00F819B0" w:rsidRPr="006D26FC" w:rsidRDefault="00F819B0" w:rsidP="00651F9B">
      <w:pPr>
        <w:pStyle w:val="Testonotaapidipagina"/>
        <w:jc w:val="both"/>
        <w:rPr>
          <w:lang w:val="en-GB"/>
        </w:rPr>
      </w:pPr>
      <w:r>
        <w:rPr>
          <w:rStyle w:val="Rimandonotaapidipagina"/>
        </w:rPr>
        <w:footnoteRef/>
      </w:r>
      <w:r w:rsidRPr="00F85A79">
        <w:rPr>
          <w:lang w:val="en-GB"/>
        </w:rPr>
        <w:t xml:space="preserve"> Painter v Google 3 O 1108/05, </w:t>
      </w:r>
      <w:proofErr w:type="spellStart"/>
      <w:r w:rsidRPr="00F85A79">
        <w:rPr>
          <w:lang w:val="en-GB"/>
        </w:rPr>
        <w:t>Landgericht</w:t>
      </w:r>
      <w:proofErr w:type="spellEnd"/>
      <w:r w:rsidRPr="00F85A79">
        <w:rPr>
          <w:lang w:val="en-GB"/>
        </w:rPr>
        <w:t xml:space="preserve"> Erfurt, 15</w:t>
      </w:r>
      <w:r>
        <w:rPr>
          <w:lang w:val="en-GB"/>
        </w:rPr>
        <w:t xml:space="preserve"> </w:t>
      </w:r>
      <w:r w:rsidRPr="00F85A79">
        <w:rPr>
          <w:lang w:val="en-GB"/>
        </w:rPr>
        <w:t>March 2007</w:t>
      </w:r>
      <w:r>
        <w:rPr>
          <w:lang w:val="en-GB"/>
        </w:rPr>
        <w:t xml:space="preserve">. For comment, see </w:t>
      </w:r>
      <w:r w:rsidRPr="00F85A79">
        <w:rPr>
          <w:lang w:val="en-GB"/>
        </w:rPr>
        <w:t>B</w:t>
      </w:r>
      <w:r>
        <w:rPr>
          <w:lang w:val="en-GB"/>
        </w:rPr>
        <w:t>.</w:t>
      </w:r>
      <w:r w:rsidRPr="00F85A79">
        <w:rPr>
          <w:lang w:val="en-GB"/>
        </w:rPr>
        <w:t xml:space="preserve"> </w:t>
      </w:r>
      <w:r w:rsidRPr="00AF3047">
        <w:rPr>
          <w:smallCaps/>
          <w:lang w:val="en-GB"/>
        </w:rPr>
        <w:t>Allgrove</w:t>
      </w:r>
      <w:r>
        <w:rPr>
          <w:lang w:val="en-GB"/>
        </w:rPr>
        <w:t xml:space="preserve">, </w:t>
      </w:r>
      <w:proofErr w:type="gramStart"/>
      <w:r w:rsidRPr="006D26FC">
        <w:rPr>
          <w:i/>
          <w:iCs/>
          <w:lang w:val="en-GB"/>
        </w:rPr>
        <w:t>The</w:t>
      </w:r>
      <w:proofErr w:type="gramEnd"/>
      <w:r w:rsidRPr="006D26FC">
        <w:rPr>
          <w:i/>
          <w:iCs/>
          <w:lang w:val="en-GB"/>
        </w:rPr>
        <w:t xml:space="preserve"> search engine’s dilemma: implied licence to crawl and cache?</w:t>
      </w:r>
      <w:r>
        <w:rPr>
          <w:i/>
          <w:iCs/>
          <w:lang w:val="en-GB"/>
        </w:rPr>
        <w:t xml:space="preserve"> </w:t>
      </w:r>
      <w:r>
        <w:rPr>
          <w:lang w:val="en-GB"/>
        </w:rPr>
        <w:t xml:space="preserve">in </w:t>
      </w:r>
      <w:r w:rsidRPr="00301A31">
        <w:rPr>
          <w:i/>
          <w:iCs/>
          <w:lang w:val="en-GB"/>
        </w:rPr>
        <w:t xml:space="preserve">Journal of Intellectual Property Law &amp; Practice </w:t>
      </w:r>
      <w:r w:rsidRPr="00301A31">
        <w:rPr>
          <w:lang w:val="en-GB"/>
        </w:rPr>
        <w:t xml:space="preserve">2007, Vol. 2, </w:t>
      </w:r>
      <w:r>
        <w:rPr>
          <w:lang w:val="en-GB"/>
        </w:rPr>
        <w:t>p. 437 ff.</w:t>
      </w:r>
    </w:p>
  </w:footnote>
  <w:footnote w:id="60">
    <w:p w14:paraId="5FB13DB1" w14:textId="77777777" w:rsidR="00F819B0" w:rsidRPr="00E0309D" w:rsidRDefault="00F819B0" w:rsidP="00651F9B">
      <w:pPr>
        <w:pStyle w:val="Testonotaapidipagina"/>
        <w:rPr>
          <w:lang w:val="en-GB"/>
        </w:rPr>
      </w:pPr>
      <w:r>
        <w:rPr>
          <w:rStyle w:val="Rimandonotaapidipagina"/>
        </w:rPr>
        <w:footnoteRef/>
      </w:r>
      <w:r w:rsidRPr="00E0309D">
        <w:rPr>
          <w:lang w:val="en-GB"/>
        </w:rPr>
        <w:t xml:space="preserve"> </w:t>
      </w:r>
      <w:r>
        <w:rPr>
          <w:lang w:val="en-GB"/>
        </w:rPr>
        <w:t xml:space="preserve">Higher Regional Court of Jena, 27 February 2008, 2 U 319/07. </w:t>
      </w:r>
    </w:p>
  </w:footnote>
  <w:footnote w:id="61">
    <w:p w14:paraId="2D988638" w14:textId="77777777" w:rsidR="00F819B0" w:rsidRPr="00E0145F" w:rsidRDefault="00F819B0" w:rsidP="00651F9B">
      <w:pPr>
        <w:pStyle w:val="Testonotaapidipagina"/>
        <w:jc w:val="both"/>
        <w:rPr>
          <w:lang w:val="en-GB"/>
        </w:rPr>
      </w:pPr>
      <w:r>
        <w:rPr>
          <w:rStyle w:val="Rimandonotaapidipagina"/>
        </w:rPr>
        <w:footnoteRef/>
      </w:r>
      <w:r w:rsidRPr="004F16F3">
        <w:rPr>
          <w:lang w:val="en-GB"/>
        </w:rPr>
        <w:t xml:space="preserve"> German Federal Supreme Court (</w:t>
      </w:r>
      <w:proofErr w:type="spellStart"/>
      <w:r w:rsidRPr="004F16F3">
        <w:rPr>
          <w:lang w:val="en-GB"/>
        </w:rPr>
        <w:t>Bundesgerichtshof</w:t>
      </w:r>
      <w:proofErr w:type="spellEnd"/>
      <w:r w:rsidRPr="004F16F3">
        <w:rPr>
          <w:lang w:val="en-GB"/>
        </w:rPr>
        <w:t>),</w:t>
      </w:r>
      <w:r>
        <w:rPr>
          <w:lang w:val="en-GB"/>
        </w:rPr>
        <w:t xml:space="preserve"> </w:t>
      </w:r>
      <w:r w:rsidRPr="004F16F3">
        <w:rPr>
          <w:lang w:val="en-GB"/>
        </w:rPr>
        <w:t>29 April 2010</w:t>
      </w:r>
      <w:r>
        <w:rPr>
          <w:lang w:val="en-GB"/>
        </w:rPr>
        <w:t xml:space="preserve">, </w:t>
      </w:r>
      <w:r w:rsidRPr="004F16F3">
        <w:rPr>
          <w:lang w:val="en-GB"/>
        </w:rPr>
        <w:t>I ZR 69/08 (‘</w:t>
      </w:r>
      <w:proofErr w:type="spellStart"/>
      <w:r w:rsidRPr="004F16F3">
        <w:rPr>
          <w:lang w:val="en-GB"/>
        </w:rPr>
        <w:t>Vorschaubilder</w:t>
      </w:r>
      <w:proofErr w:type="spellEnd"/>
      <w:r w:rsidRPr="004F16F3">
        <w:rPr>
          <w:lang w:val="en-GB"/>
        </w:rPr>
        <w:t>’)</w:t>
      </w:r>
      <w:r>
        <w:rPr>
          <w:lang w:val="en-GB"/>
        </w:rPr>
        <w:t xml:space="preserve">. For comment on the case, see B. </w:t>
      </w:r>
      <w:r w:rsidRPr="00AF3047">
        <w:rPr>
          <w:smallCaps/>
          <w:lang w:val="en-GB"/>
        </w:rPr>
        <w:t>Clark</w:t>
      </w:r>
      <w:r>
        <w:rPr>
          <w:lang w:val="en-GB"/>
        </w:rPr>
        <w:t xml:space="preserve">, </w:t>
      </w:r>
      <w:r w:rsidRPr="00E0145F">
        <w:rPr>
          <w:i/>
          <w:iCs/>
          <w:lang w:val="en-GB"/>
        </w:rPr>
        <w:t xml:space="preserve">Google Image Search does not infringe copyright, says </w:t>
      </w:r>
      <w:proofErr w:type="spellStart"/>
      <w:r w:rsidRPr="00E0145F">
        <w:rPr>
          <w:i/>
          <w:iCs/>
          <w:lang w:val="en-GB"/>
        </w:rPr>
        <w:t>Bundesgerichtshof</w:t>
      </w:r>
      <w:proofErr w:type="spellEnd"/>
      <w:r>
        <w:rPr>
          <w:i/>
          <w:iCs/>
          <w:lang w:val="en-GB"/>
        </w:rPr>
        <w:t xml:space="preserve">, </w:t>
      </w:r>
      <w:r>
        <w:rPr>
          <w:lang w:val="en-GB"/>
        </w:rPr>
        <w:t xml:space="preserve">in </w:t>
      </w:r>
      <w:r w:rsidRPr="00E0145F">
        <w:rPr>
          <w:i/>
          <w:iCs/>
          <w:lang w:val="en-GB"/>
        </w:rPr>
        <w:t>Journal of Intellectual Property Law &amp; Practice</w:t>
      </w:r>
      <w:r w:rsidRPr="00E0145F">
        <w:rPr>
          <w:lang w:val="en-GB"/>
        </w:rPr>
        <w:t xml:space="preserve"> 2010, </w:t>
      </w:r>
      <w:r>
        <w:rPr>
          <w:lang w:val="en-GB"/>
        </w:rPr>
        <w:t>v</w:t>
      </w:r>
      <w:r w:rsidRPr="00E0145F">
        <w:rPr>
          <w:lang w:val="en-GB"/>
        </w:rPr>
        <w:t xml:space="preserve">ol. 5, </w:t>
      </w:r>
      <w:r>
        <w:rPr>
          <w:lang w:val="en-GB"/>
        </w:rPr>
        <w:t xml:space="preserve">p. 553 ff.; </w:t>
      </w:r>
      <w:r w:rsidRPr="00AF3047">
        <w:rPr>
          <w:smallCaps/>
          <w:lang w:val="en-GB"/>
        </w:rPr>
        <w:t>A. Lopez-</w:t>
      </w:r>
      <w:proofErr w:type="spellStart"/>
      <w:r w:rsidRPr="00AF3047">
        <w:rPr>
          <w:smallCaps/>
          <w:lang w:val="en-GB"/>
        </w:rPr>
        <w:t>Tarruella</w:t>
      </w:r>
      <w:proofErr w:type="spellEnd"/>
      <w:r>
        <w:rPr>
          <w:lang w:val="en-GB"/>
        </w:rPr>
        <w:t xml:space="preserve">, </w:t>
      </w:r>
      <w:r w:rsidRPr="00E0145F">
        <w:rPr>
          <w:i/>
          <w:iCs/>
          <w:lang w:val="en-GB"/>
        </w:rPr>
        <w:t>Google and the Law: Empirical Approaches to Legal Aspects of Knowledge-Economy Business Models</w:t>
      </w:r>
      <w:r>
        <w:rPr>
          <w:i/>
          <w:iCs/>
          <w:lang w:val="en-GB"/>
        </w:rPr>
        <w:t xml:space="preserve">, </w:t>
      </w:r>
      <w:r>
        <w:rPr>
          <w:lang w:val="en-GB"/>
        </w:rPr>
        <w:t>Springer, 2012, p. 185 ff.</w:t>
      </w:r>
    </w:p>
  </w:footnote>
  <w:footnote w:id="62">
    <w:p w14:paraId="4F61E0CB" w14:textId="77777777" w:rsidR="00F819B0" w:rsidRPr="00CC0BB4" w:rsidRDefault="00F819B0" w:rsidP="00651F9B">
      <w:pPr>
        <w:pStyle w:val="Testonotaapidipagina"/>
        <w:jc w:val="both"/>
        <w:rPr>
          <w:lang w:val="en-GB"/>
        </w:rPr>
      </w:pPr>
      <w:r>
        <w:rPr>
          <w:rStyle w:val="Rimandonotaapidipagina"/>
        </w:rPr>
        <w:footnoteRef/>
      </w:r>
      <w:r w:rsidRPr="00CC0BB4">
        <w:rPr>
          <w:lang w:val="en-GB"/>
        </w:rPr>
        <w:t xml:space="preserve"> </w:t>
      </w:r>
      <w:r>
        <w:rPr>
          <w:lang w:val="en-GB"/>
        </w:rPr>
        <w:t xml:space="preserve">On the limits and the lack of harmonization of the doctrine of implied licenses in the context of linking, see T. </w:t>
      </w:r>
      <w:proofErr w:type="spellStart"/>
      <w:r w:rsidRPr="00E90FEB">
        <w:rPr>
          <w:smallCaps/>
          <w:lang w:val="en-GB"/>
        </w:rPr>
        <w:t>Pihlajarinne</w:t>
      </w:r>
      <w:proofErr w:type="spellEnd"/>
      <w:r>
        <w:rPr>
          <w:lang w:val="en-GB"/>
        </w:rPr>
        <w:t xml:space="preserve">, </w:t>
      </w:r>
      <w:r w:rsidRPr="003177A6">
        <w:rPr>
          <w:i/>
          <w:iCs/>
          <w:lang w:val="en-GB"/>
        </w:rPr>
        <w:t>Setting the Limits for the Implied License in Copyright and Linking Discourse – the European Perspective</w:t>
      </w:r>
      <w:r>
        <w:rPr>
          <w:lang w:val="en-GB"/>
        </w:rPr>
        <w:t xml:space="preserve">, in </w:t>
      </w:r>
      <w:r w:rsidRPr="003177A6">
        <w:rPr>
          <w:i/>
          <w:iCs/>
          <w:lang w:val="en-GB"/>
        </w:rPr>
        <w:t>EIPR</w:t>
      </w:r>
      <w:r>
        <w:rPr>
          <w:lang w:val="en-GB"/>
        </w:rPr>
        <w:t xml:space="preserve"> 2012, p. 707 ff.</w:t>
      </w:r>
    </w:p>
  </w:footnote>
  <w:footnote w:id="63">
    <w:p w14:paraId="78F9AC67" w14:textId="77777777" w:rsidR="00F819B0" w:rsidRPr="006B2D1C" w:rsidRDefault="00F819B0" w:rsidP="00651F9B">
      <w:pPr>
        <w:pStyle w:val="Testonotaapidipagina"/>
        <w:jc w:val="both"/>
      </w:pPr>
      <w:r>
        <w:rPr>
          <w:rStyle w:val="Rimandonotaapidipagina"/>
        </w:rPr>
        <w:footnoteRef/>
      </w:r>
      <w:r w:rsidRPr="00DF3AF1">
        <w:rPr>
          <w:lang w:val="en-GB"/>
        </w:rPr>
        <w:t xml:space="preserve"> </w:t>
      </w:r>
      <w:r>
        <w:rPr>
          <w:lang w:val="en-GB"/>
        </w:rPr>
        <w:t xml:space="preserve">For an analysis of the relationship between platforms and user in the light of the new provisions, see </w:t>
      </w:r>
      <w:r w:rsidRPr="006B2D1C">
        <w:rPr>
          <w:lang w:val="en-GB"/>
        </w:rPr>
        <w:t xml:space="preserve">S. </w:t>
      </w:r>
      <w:proofErr w:type="spellStart"/>
      <w:r w:rsidRPr="00E90FEB">
        <w:rPr>
          <w:smallCaps/>
          <w:lang w:val="en-GB"/>
        </w:rPr>
        <w:t>Scalzini</w:t>
      </w:r>
      <w:proofErr w:type="spellEnd"/>
      <w:r w:rsidRPr="006B2D1C">
        <w:rPr>
          <w:lang w:val="en-GB"/>
        </w:rPr>
        <w:t xml:space="preserve">, </w:t>
      </w:r>
      <w:proofErr w:type="spellStart"/>
      <w:r w:rsidRPr="006B2D1C">
        <w:rPr>
          <w:i/>
          <w:iCs/>
          <w:lang w:val="en-GB"/>
        </w:rPr>
        <w:t>L’estrazione</w:t>
      </w:r>
      <w:proofErr w:type="spellEnd"/>
      <w:r w:rsidRPr="006B2D1C">
        <w:rPr>
          <w:i/>
          <w:iCs/>
          <w:lang w:val="en-GB"/>
        </w:rPr>
        <w:t xml:space="preserve"> di </w:t>
      </w:r>
      <w:proofErr w:type="spellStart"/>
      <w:r w:rsidRPr="006B2D1C">
        <w:rPr>
          <w:i/>
          <w:iCs/>
          <w:lang w:val="en-GB"/>
        </w:rPr>
        <w:t>dati</w:t>
      </w:r>
      <w:proofErr w:type="spellEnd"/>
      <w:r w:rsidRPr="006B2D1C">
        <w:rPr>
          <w:i/>
          <w:iCs/>
          <w:lang w:val="en-GB"/>
        </w:rPr>
        <w:t xml:space="preserve"> e di testo per </w:t>
      </w:r>
      <w:proofErr w:type="spellStart"/>
      <w:r w:rsidRPr="006B2D1C">
        <w:rPr>
          <w:i/>
          <w:iCs/>
          <w:lang w:val="en-GB"/>
        </w:rPr>
        <w:t>finalità</w:t>
      </w:r>
      <w:proofErr w:type="spellEnd"/>
      <w:r w:rsidRPr="006B2D1C">
        <w:rPr>
          <w:i/>
          <w:iCs/>
          <w:lang w:val="en-GB"/>
        </w:rPr>
        <w:t xml:space="preserve"> </w:t>
      </w:r>
      <w:proofErr w:type="spellStart"/>
      <w:r w:rsidRPr="006B2D1C">
        <w:rPr>
          <w:i/>
          <w:iCs/>
          <w:lang w:val="en-GB"/>
        </w:rPr>
        <w:t>commerciali</w:t>
      </w:r>
      <w:proofErr w:type="spellEnd"/>
      <w:r w:rsidRPr="006B2D1C">
        <w:rPr>
          <w:i/>
          <w:iCs/>
          <w:lang w:val="en-GB"/>
        </w:rPr>
        <w:t xml:space="preserve"> </w:t>
      </w:r>
      <w:proofErr w:type="spellStart"/>
      <w:r w:rsidRPr="006B2D1C">
        <w:rPr>
          <w:i/>
          <w:iCs/>
          <w:lang w:val="en-GB"/>
        </w:rPr>
        <w:t>dai</w:t>
      </w:r>
      <w:proofErr w:type="spellEnd"/>
      <w:r w:rsidRPr="006B2D1C">
        <w:rPr>
          <w:i/>
          <w:iCs/>
          <w:lang w:val="en-GB"/>
        </w:rPr>
        <w:t xml:space="preserve"> </w:t>
      </w:r>
      <w:proofErr w:type="spellStart"/>
      <w:r w:rsidRPr="006B2D1C">
        <w:rPr>
          <w:i/>
          <w:iCs/>
          <w:lang w:val="en-GB"/>
        </w:rPr>
        <w:t>contenuti</w:t>
      </w:r>
      <w:proofErr w:type="spellEnd"/>
      <w:r w:rsidRPr="006B2D1C">
        <w:rPr>
          <w:i/>
          <w:iCs/>
          <w:lang w:val="en-GB"/>
        </w:rPr>
        <w:t xml:space="preserve"> </w:t>
      </w:r>
      <w:proofErr w:type="spellStart"/>
      <w:r w:rsidRPr="006B2D1C">
        <w:rPr>
          <w:i/>
          <w:iCs/>
          <w:lang w:val="en-GB"/>
        </w:rPr>
        <w:t>degli</w:t>
      </w:r>
      <w:proofErr w:type="spellEnd"/>
      <w:r w:rsidRPr="006B2D1C">
        <w:rPr>
          <w:i/>
          <w:iCs/>
          <w:lang w:val="en-GB"/>
        </w:rPr>
        <w:t xml:space="preserve"> </w:t>
      </w:r>
      <w:proofErr w:type="spellStart"/>
      <w:r w:rsidRPr="006B2D1C">
        <w:rPr>
          <w:i/>
          <w:iCs/>
          <w:lang w:val="en-GB"/>
        </w:rPr>
        <w:t>utenti</w:t>
      </w:r>
      <w:proofErr w:type="spellEnd"/>
      <w:r w:rsidRPr="006B2D1C">
        <w:rPr>
          <w:i/>
          <w:iCs/>
          <w:lang w:val="en-GB"/>
        </w:rPr>
        <w:t xml:space="preserve">. </w:t>
      </w:r>
      <w:r w:rsidRPr="006B2D1C">
        <w:rPr>
          <w:i/>
          <w:iCs/>
        </w:rPr>
        <w:t>Algoritmi, proprietà intellettuale e autonomia negoziale</w:t>
      </w:r>
      <w:r w:rsidRPr="006B2D1C">
        <w:t xml:space="preserve">, </w:t>
      </w:r>
      <w:proofErr w:type="spellStart"/>
      <w:r>
        <w:t>supra</w:t>
      </w:r>
      <w:proofErr w:type="spellEnd"/>
      <w:r>
        <w:t xml:space="preserve"> </w:t>
      </w:r>
      <w:proofErr w:type="spellStart"/>
      <w:r>
        <w:t>at</w:t>
      </w:r>
      <w:proofErr w:type="spellEnd"/>
      <w:r>
        <w:t xml:space="preserve"> note 48</w:t>
      </w:r>
      <w:r w:rsidRPr="006B2D1C">
        <w:t xml:space="preserve">, 395 </w:t>
      </w:r>
      <w:proofErr w:type="spellStart"/>
      <w:r w:rsidRPr="006B2D1C">
        <w:t>ff</w:t>
      </w:r>
      <w:proofErr w:type="spellEnd"/>
      <w:r>
        <w:t>.</w:t>
      </w:r>
    </w:p>
  </w:footnote>
  <w:footnote w:id="64">
    <w:p w14:paraId="1D57D166" w14:textId="77777777" w:rsidR="00F819B0" w:rsidRPr="00386051" w:rsidRDefault="00F819B0" w:rsidP="00651F9B">
      <w:pPr>
        <w:pStyle w:val="Testonotaapidipagina"/>
        <w:rPr>
          <w:lang w:val="en-GB"/>
        </w:rPr>
      </w:pPr>
      <w:r w:rsidRPr="00876440">
        <w:rPr>
          <w:rStyle w:val="Rimandonotaapidipagina"/>
        </w:rPr>
        <w:footnoteRef/>
      </w:r>
      <w:r w:rsidRPr="00876440">
        <w:rPr>
          <w:lang w:val="en-GB"/>
        </w:rPr>
        <w:t xml:space="preserve"> </w:t>
      </w:r>
      <w:r w:rsidRPr="00E90FEB">
        <w:rPr>
          <w:smallCaps/>
          <w:lang w:val="en-GB"/>
        </w:rPr>
        <w:t xml:space="preserve">C. Geiger, G. </w:t>
      </w:r>
      <w:proofErr w:type="spellStart"/>
      <w:r w:rsidRPr="00E90FEB">
        <w:rPr>
          <w:smallCaps/>
          <w:lang w:val="en-GB"/>
        </w:rPr>
        <w:t>Frosio</w:t>
      </w:r>
      <w:proofErr w:type="spellEnd"/>
      <w:r w:rsidRPr="00E90FEB">
        <w:rPr>
          <w:smallCaps/>
          <w:lang w:val="en-GB"/>
        </w:rPr>
        <w:t xml:space="preserve">, O. </w:t>
      </w:r>
      <w:proofErr w:type="spellStart"/>
      <w:r w:rsidRPr="00E90FEB">
        <w:rPr>
          <w:smallCaps/>
          <w:lang w:val="en-GB"/>
        </w:rPr>
        <w:t>Bulayenko</w:t>
      </w:r>
      <w:proofErr w:type="spellEnd"/>
      <w:r w:rsidRPr="00876440">
        <w:rPr>
          <w:lang w:val="en-GB"/>
        </w:rPr>
        <w:t xml:space="preserve">, </w:t>
      </w:r>
      <w:r w:rsidRPr="00E90FEB">
        <w:rPr>
          <w:i/>
          <w:iCs/>
          <w:lang w:val="en-GB"/>
        </w:rPr>
        <w:t>Text and Data Mining: articles 3 and 4 of Directive 2019/790/EU</w:t>
      </w:r>
      <w:r w:rsidRPr="00876440">
        <w:rPr>
          <w:lang w:val="en-GB"/>
        </w:rPr>
        <w:t xml:space="preserve">, </w:t>
      </w:r>
      <w:r>
        <w:rPr>
          <w:lang w:val="en-GB"/>
        </w:rPr>
        <w:t xml:space="preserve">supra at note 17, p. </w:t>
      </w:r>
      <w:r w:rsidRPr="00876440">
        <w:rPr>
          <w:lang w:val="en-GB"/>
        </w:rPr>
        <w:t>36.</w:t>
      </w:r>
    </w:p>
  </w:footnote>
  <w:footnote w:id="65">
    <w:p w14:paraId="4D08F1C6" w14:textId="77777777" w:rsidR="00F819B0" w:rsidRPr="002F63A4" w:rsidRDefault="00F819B0" w:rsidP="00651F9B">
      <w:pPr>
        <w:pStyle w:val="Testonotaapidipagina"/>
        <w:jc w:val="both"/>
        <w:rPr>
          <w:lang w:val="en-GB"/>
        </w:rPr>
      </w:pPr>
      <w:r>
        <w:rPr>
          <w:rStyle w:val="Rimandonotaapidipagina"/>
        </w:rPr>
        <w:footnoteRef/>
      </w:r>
      <w:r w:rsidRPr="002F63A4">
        <w:rPr>
          <w:lang w:val="en-GB"/>
        </w:rPr>
        <w:t xml:space="preserve"> B. </w:t>
      </w:r>
      <w:proofErr w:type="spellStart"/>
      <w:r w:rsidRPr="007A375E">
        <w:rPr>
          <w:smallCaps/>
          <w:lang w:val="en-GB"/>
        </w:rPr>
        <w:t>Hugenholtz</w:t>
      </w:r>
      <w:proofErr w:type="spellEnd"/>
      <w:r w:rsidRPr="007A375E">
        <w:rPr>
          <w:smallCaps/>
          <w:lang w:val="en-GB"/>
        </w:rPr>
        <w:t>,</w:t>
      </w:r>
      <w:r w:rsidRPr="002F63A4">
        <w:rPr>
          <w:lang w:val="en-GB"/>
        </w:rPr>
        <w:t xml:space="preserve"> </w:t>
      </w:r>
      <w:r w:rsidRPr="007A375E">
        <w:rPr>
          <w:i/>
          <w:iCs/>
          <w:lang w:val="en-GB"/>
        </w:rPr>
        <w:t>The New Copyright Directive: Text and Data Mining (Articles 3 and 4),</w:t>
      </w:r>
      <w:r w:rsidRPr="002F63A4">
        <w:rPr>
          <w:lang w:val="en-GB"/>
        </w:rPr>
        <w:t xml:space="preserve"> </w:t>
      </w:r>
      <w:r>
        <w:rPr>
          <w:lang w:val="en-GB"/>
        </w:rPr>
        <w:t>supra at note 47</w:t>
      </w:r>
      <w:r w:rsidRPr="002F63A4">
        <w:rPr>
          <w:lang w:val="en-GB"/>
        </w:rPr>
        <w:t>.</w:t>
      </w:r>
    </w:p>
  </w:footnote>
  <w:footnote w:id="66">
    <w:p w14:paraId="6B3009DA" w14:textId="77777777" w:rsidR="00F819B0" w:rsidRPr="007B5090" w:rsidRDefault="00F819B0" w:rsidP="00651F9B">
      <w:pPr>
        <w:pStyle w:val="Testonotaapidipagina"/>
        <w:jc w:val="both"/>
        <w:rPr>
          <w:lang w:val="en-GB"/>
        </w:rPr>
      </w:pPr>
      <w:r>
        <w:rPr>
          <w:rStyle w:val="Rimandonotaapidipagina"/>
        </w:rPr>
        <w:footnoteRef/>
      </w:r>
      <w:r w:rsidRPr="007B5090">
        <w:rPr>
          <w:lang w:val="en-GB"/>
        </w:rPr>
        <w:t xml:space="preserve"> </w:t>
      </w:r>
      <w:r>
        <w:rPr>
          <w:lang w:val="en-GB"/>
        </w:rPr>
        <w:t xml:space="preserve">S. </w:t>
      </w:r>
      <w:r w:rsidRPr="00E01582">
        <w:rPr>
          <w:smallCaps/>
          <w:lang w:val="en-GB"/>
        </w:rPr>
        <w:t xml:space="preserve">Van </w:t>
      </w:r>
      <w:proofErr w:type="spellStart"/>
      <w:r w:rsidRPr="00E01582">
        <w:rPr>
          <w:smallCaps/>
          <w:lang w:val="en-GB"/>
        </w:rPr>
        <w:t>Gompel</w:t>
      </w:r>
      <w:proofErr w:type="spellEnd"/>
      <w:r>
        <w:rPr>
          <w:lang w:val="en-GB"/>
        </w:rPr>
        <w:t xml:space="preserve">, </w:t>
      </w:r>
      <w:r w:rsidRPr="00E01582">
        <w:rPr>
          <w:i/>
          <w:iCs/>
          <w:lang w:val="en-GB"/>
        </w:rPr>
        <w:t xml:space="preserve">Formalities in the Digital Era: an Obstacle or </w:t>
      </w:r>
      <w:proofErr w:type="gramStart"/>
      <w:r w:rsidRPr="00E01582">
        <w:rPr>
          <w:i/>
          <w:iCs/>
          <w:lang w:val="en-GB"/>
        </w:rPr>
        <w:t>Opportunity?,</w:t>
      </w:r>
      <w:proofErr w:type="gramEnd"/>
      <w:r>
        <w:rPr>
          <w:lang w:val="en-GB"/>
        </w:rPr>
        <w:t xml:space="preserve"> in </w:t>
      </w:r>
      <w:r w:rsidRPr="00687DDF">
        <w:rPr>
          <w:lang w:val="en-GB"/>
        </w:rPr>
        <w:t>L</w:t>
      </w:r>
      <w:r w:rsidRPr="00E01582">
        <w:rPr>
          <w:smallCaps/>
          <w:lang w:val="en-GB"/>
        </w:rPr>
        <w:t xml:space="preserve">. </w:t>
      </w:r>
      <w:proofErr w:type="spellStart"/>
      <w:r w:rsidRPr="00E01582">
        <w:rPr>
          <w:smallCaps/>
          <w:lang w:val="en-GB"/>
        </w:rPr>
        <w:t>Bently</w:t>
      </w:r>
      <w:proofErr w:type="spellEnd"/>
      <w:r w:rsidRPr="00E01582">
        <w:rPr>
          <w:smallCaps/>
          <w:lang w:val="en-GB"/>
        </w:rPr>
        <w:t xml:space="preserve">, U. </w:t>
      </w:r>
      <w:proofErr w:type="spellStart"/>
      <w:r w:rsidRPr="00E01582">
        <w:rPr>
          <w:smallCaps/>
          <w:lang w:val="en-GB"/>
        </w:rPr>
        <w:t>Suthersanen</w:t>
      </w:r>
      <w:proofErr w:type="spellEnd"/>
      <w:r w:rsidRPr="00E01582">
        <w:rPr>
          <w:smallCaps/>
          <w:lang w:val="en-GB"/>
        </w:rPr>
        <w:t xml:space="preserve">, P. </w:t>
      </w:r>
      <w:proofErr w:type="spellStart"/>
      <w:r w:rsidRPr="00E01582">
        <w:rPr>
          <w:smallCaps/>
          <w:lang w:val="en-GB"/>
        </w:rPr>
        <w:t>Torremans</w:t>
      </w:r>
      <w:proofErr w:type="spellEnd"/>
      <w:r w:rsidRPr="00687DDF">
        <w:rPr>
          <w:lang w:val="en-GB"/>
        </w:rPr>
        <w:t xml:space="preserve"> (eds), </w:t>
      </w:r>
      <w:r w:rsidRPr="00687DDF">
        <w:rPr>
          <w:i/>
          <w:iCs/>
          <w:lang w:val="en-GB"/>
        </w:rPr>
        <w:t>Global Copyright: Three Hundred Years Since the Statute of</w:t>
      </w:r>
      <w:r>
        <w:rPr>
          <w:i/>
          <w:iCs/>
          <w:lang w:val="en-GB"/>
        </w:rPr>
        <w:t xml:space="preserve"> </w:t>
      </w:r>
      <w:r w:rsidRPr="00687DDF">
        <w:rPr>
          <w:i/>
          <w:iCs/>
          <w:lang w:val="en-GB"/>
        </w:rPr>
        <w:t>Anne, from 1709 to Cyberspace</w:t>
      </w:r>
      <w:r w:rsidRPr="00687DDF">
        <w:rPr>
          <w:lang w:val="en-GB"/>
        </w:rPr>
        <w:t>, Edward Elgar</w:t>
      </w:r>
      <w:r>
        <w:rPr>
          <w:lang w:val="en-GB"/>
        </w:rPr>
        <w:t>,</w:t>
      </w:r>
      <w:r w:rsidRPr="00687DDF">
        <w:rPr>
          <w:lang w:val="en-GB"/>
        </w:rPr>
        <w:t xml:space="preserve"> 2010, </w:t>
      </w:r>
      <w:r>
        <w:rPr>
          <w:lang w:val="en-GB"/>
        </w:rPr>
        <w:t xml:space="preserve">p. </w:t>
      </w:r>
      <w:r w:rsidRPr="00687DDF">
        <w:rPr>
          <w:lang w:val="en-GB"/>
        </w:rPr>
        <w:t>39</w:t>
      </w:r>
      <w:r>
        <w:rPr>
          <w:lang w:val="en-GB"/>
        </w:rPr>
        <w:t>5 ff.</w:t>
      </w:r>
    </w:p>
  </w:footnote>
  <w:footnote w:id="67">
    <w:p w14:paraId="2CF6D0A1" w14:textId="77777777" w:rsidR="00F819B0" w:rsidRPr="001F4E79" w:rsidRDefault="00F819B0" w:rsidP="00651F9B">
      <w:pPr>
        <w:pStyle w:val="Testonotaapidipagina"/>
        <w:rPr>
          <w:lang w:val="en-GB"/>
        </w:rPr>
      </w:pPr>
      <w:r>
        <w:rPr>
          <w:rStyle w:val="Rimandonotaapidipagina"/>
        </w:rPr>
        <w:footnoteRef/>
      </w:r>
      <w:r w:rsidRPr="001F4E79">
        <w:rPr>
          <w:lang w:val="en-GB"/>
        </w:rPr>
        <w:t xml:space="preserve"> </w:t>
      </w:r>
      <w:r>
        <w:rPr>
          <w:lang w:val="en-GB"/>
        </w:rPr>
        <w:t>M</w:t>
      </w:r>
      <w:r w:rsidRPr="00E01582">
        <w:rPr>
          <w:smallCaps/>
          <w:lang w:val="en-GB"/>
        </w:rPr>
        <w:t xml:space="preserve">. </w:t>
      </w:r>
      <w:proofErr w:type="spellStart"/>
      <w:r w:rsidRPr="00E01582">
        <w:rPr>
          <w:smallCaps/>
          <w:lang w:val="en-GB"/>
        </w:rPr>
        <w:t>Ricolfi</w:t>
      </w:r>
      <w:proofErr w:type="spellEnd"/>
      <w:r w:rsidRPr="00E01582">
        <w:rPr>
          <w:smallCaps/>
          <w:lang w:val="en-GB"/>
        </w:rPr>
        <w:t>,</w:t>
      </w:r>
      <w:r>
        <w:rPr>
          <w:lang w:val="en-GB"/>
        </w:rPr>
        <w:t xml:space="preserve"> </w:t>
      </w:r>
      <w:r w:rsidRPr="001F4E79">
        <w:rPr>
          <w:i/>
          <w:iCs/>
          <w:lang w:val="en-GB"/>
        </w:rPr>
        <w:t xml:space="preserve">Making Copyright Fit </w:t>
      </w:r>
      <w:proofErr w:type="gramStart"/>
      <w:r w:rsidRPr="001F4E79">
        <w:rPr>
          <w:i/>
          <w:iCs/>
          <w:lang w:val="en-GB"/>
        </w:rPr>
        <w:t>For</w:t>
      </w:r>
      <w:proofErr w:type="gramEnd"/>
      <w:r w:rsidRPr="001F4E79">
        <w:rPr>
          <w:i/>
          <w:iCs/>
          <w:lang w:val="en-GB"/>
        </w:rPr>
        <w:t xml:space="preserve"> the Digital Agenda</w:t>
      </w:r>
      <w:r>
        <w:rPr>
          <w:lang w:val="en-GB"/>
        </w:rPr>
        <w:t xml:space="preserve">, in </w:t>
      </w:r>
      <w:r w:rsidRPr="001F4E79">
        <w:rPr>
          <w:i/>
          <w:iCs/>
          <w:lang w:val="en-GB"/>
        </w:rPr>
        <w:t xml:space="preserve">Il </w:t>
      </w:r>
      <w:proofErr w:type="spellStart"/>
      <w:r w:rsidRPr="001F4E79">
        <w:rPr>
          <w:i/>
          <w:iCs/>
          <w:lang w:val="en-GB"/>
        </w:rPr>
        <w:t>Diritto</w:t>
      </w:r>
      <w:proofErr w:type="spellEnd"/>
      <w:r w:rsidRPr="001F4E79">
        <w:rPr>
          <w:i/>
          <w:iCs/>
          <w:lang w:val="en-GB"/>
        </w:rPr>
        <w:t xml:space="preserve"> </w:t>
      </w:r>
      <w:proofErr w:type="spellStart"/>
      <w:r w:rsidRPr="001F4E79">
        <w:rPr>
          <w:i/>
          <w:iCs/>
          <w:lang w:val="en-GB"/>
        </w:rPr>
        <w:t>d’autore</w:t>
      </w:r>
      <w:proofErr w:type="spellEnd"/>
      <w:r>
        <w:rPr>
          <w:lang w:val="en-GB"/>
        </w:rPr>
        <w:t xml:space="preserve"> 2011, p. 359 ff.</w:t>
      </w:r>
    </w:p>
  </w:footnote>
  <w:footnote w:id="68">
    <w:p w14:paraId="13AE81A3" w14:textId="77777777" w:rsidR="00F819B0" w:rsidRPr="007E2182" w:rsidRDefault="00F819B0" w:rsidP="00651F9B">
      <w:pPr>
        <w:pStyle w:val="Testonotaapidipagina"/>
        <w:rPr>
          <w:lang w:val="en-GB"/>
        </w:rPr>
      </w:pPr>
      <w:r>
        <w:rPr>
          <w:rStyle w:val="Rimandonotaapidipagina"/>
        </w:rPr>
        <w:footnoteRef/>
      </w:r>
      <w:r w:rsidRPr="00197B55">
        <w:rPr>
          <w:lang w:val="en-GB"/>
        </w:rPr>
        <w:t xml:space="preserve"> </w:t>
      </w:r>
      <w:r>
        <w:rPr>
          <w:lang w:val="en-GB"/>
        </w:rPr>
        <w:t>CJEU, case C-203/02, British Horseracing Board Ltd v. William Hill Organization Ltd., 9 November 2004, § 54.</w:t>
      </w:r>
    </w:p>
  </w:footnote>
  <w:footnote w:id="69">
    <w:p w14:paraId="28B01931" w14:textId="2FADA177" w:rsidR="00F819B0" w:rsidRPr="00816EEC" w:rsidRDefault="00F819B0" w:rsidP="00651F9B">
      <w:pPr>
        <w:pStyle w:val="Testonotaapidipagina"/>
        <w:jc w:val="both"/>
        <w:rPr>
          <w:lang w:val="en-GB"/>
        </w:rPr>
      </w:pPr>
      <w:r>
        <w:rPr>
          <w:rStyle w:val="Rimandonotaapidipagina"/>
        </w:rPr>
        <w:footnoteRef/>
      </w:r>
      <w:r w:rsidRPr="00816EEC">
        <w:rPr>
          <w:lang w:val="en-GB"/>
        </w:rPr>
        <w:t xml:space="preserve"> </w:t>
      </w:r>
      <w:r w:rsidR="00882A61">
        <w:rPr>
          <w:lang w:val="en-GB"/>
        </w:rPr>
        <w:t>However, in the context of copyright, the use of formalities may be in violation of Art. 5 of the Berne Convention, which does not allow this type of intellectual property to be subject to formalities</w:t>
      </w:r>
      <w:r>
        <w:rPr>
          <w:lang w:val="en-GB"/>
        </w:rPr>
        <w:t xml:space="preserve">. See </w:t>
      </w:r>
      <w:r w:rsidRPr="00816EEC">
        <w:rPr>
          <w:lang w:val="en-GB"/>
        </w:rPr>
        <w:t xml:space="preserve">S. </w:t>
      </w:r>
      <w:r>
        <w:rPr>
          <w:smallCaps/>
          <w:lang w:val="en-GB"/>
        </w:rPr>
        <w:t xml:space="preserve">Van </w:t>
      </w:r>
      <w:proofErr w:type="spellStart"/>
      <w:r>
        <w:rPr>
          <w:smallCaps/>
          <w:lang w:val="en-GB"/>
        </w:rPr>
        <w:t>Gompel</w:t>
      </w:r>
      <w:proofErr w:type="spellEnd"/>
      <w:r w:rsidRPr="00816EEC">
        <w:rPr>
          <w:lang w:val="en-GB"/>
        </w:rPr>
        <w:t xml:space="preserve">, </w:t>
      </w:r>
      <w:r w:rsidRPr="00816EEC">
        <w:rPr>
          <w:i/>
          <w:iCs/>
          <w:lang w:val="en-GB"/>
        </w:rPr>
        <w:t>Copyright Formalities in the Internet Age: Filters of Protection or Facilitators of Licensing</w:t>
      </w:r>
      <w:r w:rsidRPr="00816EEC">
        <w:rPr>
          <w:lang w:val="en-GB"/>
        </w:rPr>
        <w:t xml:space="preserve">, in </w:t>
      </w:r>
      <w:r w:rsidRPr="003A20D7">
        <w:rPr>
          <w:i/>
          <w:iCs/>
          <w:lang w:val="en-GB"/>
        </w:rPr>
        <w:t>Berkeley Tech. L.J</w:t>
      </w:r>
      <w:r w:rsidRPr="00816EEC">
        <w:rPr>
          <w:lang w:val="en-GB"/>
        </w:rPr>
        <w:t>. 2013, Vol. 28, p.</w:t>
      </w:r>
      <w:r>
        <w:rPr>
          <w:lang w:val="en-GB"/>
        </w:rPr>
        <w:t xml:space="preserve"> 1429.</w:t>
      </w:r>
    </w:p>
  </w:footnote>
  <w:footnote w:id="70">
    <w:p w14:paraId="06C33184" w14:textId="77777777" w:rsidR="00F819B0" w:rsidRPr="00BC0BBA" w:rsidRDefault="00F819B0" w:rsidP="00651F9B">
      <w:pPr>
        <w:pStyle w:val="Testonotaapidipagina"/>
        <w:jc w:val="both"/>
        <w:rPr>
          <w:lang w:val="en-GB"/>
        </w:rPr>
      </w:pPr>
      <w:r>
        <w:rPr>
          <w:rStyle w:val="Rimandonotaapidipagina"/>
        </w:rPr>
        <w:footnoteRef/>
      </w:r>
      <w:r w:rsidRPr="00BC0BBA">
        <w:rPr>
          <w:lang w:val="en-GB"/>
        </w:rPr>
        <w:t xml:space="preserve"> </w:t>
      </w:r>
      <w:r>
        <w:rPr>
          <w:lang w:val="en-GB"/>
        </w:rPr>
        <w:t xml:space="preserve">According to Recital 9 of the DSM Directive, this exception </w:t>
      </w:r>
      <w:r w:rsidRPr="00BC0BBA">
        <w:rPr>
          <w:lang w:val="en-GB"/>
        </w:rPr>
        <w:t>should</w:t>
      </w:r>
      <w:r>
        <w:rPr>
          <w:lang w:val="en-GB"/>
        </w:rPr>
        <w:t xml:space="preserve"> </w:t>
      </w:r>
      <w:r w:rsidRPr="00BC0BBA">
        <w:rPr>
          <w:lang w:val="en-GB"/>
        </w:rPr>
        <w:t xml:space="preserve">continue to apply to </w:t>
      </w:r>
      <w:r>
        <w:rPr>
          <w:lang w:val="en-GB"/>
        </w:rPr>
        <w:t>TDM</w:t>
      </w:r>
      <w:r w:rsidRPr="00BC0BBA">
        <w:rPr>
          <w:lang w:val="en-GB"/>
        </w:rPr>
        <w:t xml:space="preserve"> techniques</w:t>
      </w:r>
      <w:r>
        <w:rPr>
          <w:lang w:val="en-GB"/>
        </w:rPr>
        <w:t xml:space="preserve">. </w:t>
      </w:r>
    </w:p>
  </w:footnote>
  <w:footnote w:id="71">
    <w:p w14:paraId="094F37B9" w14:textId="77777777" w:rsidR="00F819B0" w:rsidRPr="008D34F5" w:rsidRDefault="00F819B0" w:rsidP="00651F9B">
      <w:pPr>
        <w:pStyle w:val="Testonotaapidipagina"/>
        <w:rPr>
          <w:lang w:val="en-GB"/>
        </w:rPr>
      </w:pPr>
      <w:r>
        <w:rPr>
          <w:rStyle w:val="Rimandonotaapidipagina"/>
        </w:rPr>
        <w:footnoteRef/>
      </w:r>
      <w:r w:rsidRPr="008D34F5">
        <w:rPr>
          <w:lang w:val="en-GB"/>
        </w:rPr>
        <w:t xml:space="preserve"> </w:t>
      </w:r>
      <w:r>
        <w:rPr>
          <w:lang w:val="en-GB"/>
        </w:rPr>
        <w:t>See Recitals 11 and 18 of the DSM Directive.</w:t>
      </w:r>
    </w:p>
  </w:footnote>
  <w:footnote w:id="72">
    <w:p w14:paraId="3F197279" w14:textId="77777777" w:rsidR="00F819B0" w:rsidRPr="000F3360" w:rsidRDefault="00F819B0" w:rsidP="00651F9B">
      <w:pPr>
        <w:pStyle w:val="Testonotaapidipagina"/>
        <w:jc w:val="both"/>
        <w:rPr>
          <w:lang w:val="en-GB"/>
        </w:rPr>
      </w:pPr>
      <w:r>
        <w:rPr>
          <w:rStyle w:val="Rimandonotaapidipagina"/>
        </w:rPr>
        <w:footnoteRef/>
      </w:r>
      <w:r>
        <w:rPr>
          <w:lang w:val="en-GB"/>
        </w:rPr>
        <w:t xml:space="preserve"> For an overview on the general trend towards contractually banning TDM, see </w:t>
      </w:r>
      <w:r w:rsidRPr="00DF2EF6">
        <w:rPr>
          <w:lang w:val="en-GB"/>
        </w:rPr>
        <w:t>R</w:t>
      </w:r>
      <w:r w:rsidRPr="00E01582">
        <w:rPr>
          <w:smallCaps/>
          <w:lang w:val="en-GB"/>
        </w:rPr>
        <w:t xml:space="preserve">. </w:t>
      </w:r>
      <w:proofErr w:type="spellStart"/>
      <w:r w:rsidRPr="00E01582">
        <w:rPr>
          <w:smallCaps/>
          <w:lang w:val="en-GB"/>
        </w:rPr>
        <w:t>Ducato</w:t>
      </w:r>
      <w:proofErr w:type="spellEnd"/>
      <w:r w:rsidRPr="00E01582">
        <w:rPr>
          <w:smallCaps/>
          <w:lang w:val="en-GB"/>
        </w:rPr>
        <w:t xml:space="preserve">, A. </w:t>
      </w:r>
      <w:proofErr w:type="spellStart"/>
      <w:r w:rsidRPr="00E01582">
        <w:rPr>
          <w:smallCaps/>
          <w:lang w:val="en-GB"/>
        </w:rPr>
        <w:t>Strowel</w:t>
      </w:r>
      <w:proofErr w:type="spellEnd"/>
      <w:r w:rsidRPr="00DF2EF6">
        <w:rPr>
          <w:i/>
          <w:iCs/>
          <w:lang w:val="en-GB"/>
        </w:rPr>
        <w:t>, Limitations to Text and Data Mining and Consumer Empowerment: Making the Case for a Right to “Machine Legibility</w:t>
      </w:r>
      <w:r w:rsidRPr="00DF2EF6">
        <w:rPr>
          <w:lang w:val="en-GB"/>
        </w:rPr>
        <w:t xml:space="preserve">”, </w:t>
      </w:r>
      <w:r>
        <w:rPr>
          <w:lang w:val="en-GB"/>
        </w:rPr>
        <w:t>supra at note 17</w:t>
      </w:r>
      <w:r w:rsidRPr="00DF2EF6">
        <w:rPr>
          <w:lang w:val="en-GB"/>
        </w:rPr>
        <w:t xml:space="preserve">, </w:t>
      </w:r>
      <w:r>
        <w:rPr>
          <w:lang w:val="en-GB"/>
        </w:rPr>
        <w:t xml:space="preserve">p. </w:t>
      </w:r>
      <w:r w:rsidRPr="00DF2EF6">
        <w:rPr>
          <w:lang w:val="en-GB"/>
        </w:rPr>
        <w:t>6</w:t>
      </w:r>
      <w:r>
        <w:rPr>
          <w:lang w:val="en-GB"/>
        </w:rPr>
        <w:t xml:space="preserve">74. </w:t>
      </w:r>
    </w:p>
  </w:footnote>
  <w:footnote w:id="73">
    <w:p w14:paraId="4E49639F" w14:textId="77777777" w:rsidR="00F819B0" w:rsidRPr="005D19C0" w:rsidRDefault="00F819B0" w:rsidP="00651F9B">
      <w:pPr>
        <w:pStyle w:val="Testonotaapidipagina"/>
        <w:jc w:val="both"/>
        <w:rPr>
          <w:lang w:val="en-GB"/>
        </w:rPr>
      </w:pPr>
      <w:r>
        <w:rPr>
          <w:rStyle w:val="Rimandonotaapidipagina"/>
        </w:rPr>
        <w:footnoteRef/>
      </w:r>
      <w:r w:rsidRPr="005D19C0">
        <w:rPr>
          <w:lang w:val="en-GB"/>
        </w:rPr>
        <w:t xml:space="preserve"> </w:t>
      </w:r>
      <w:r>
        <w:rPr>
          <w:lang w:val="en-GB"/>
        </w:rPr>
        <w:t xml:space="preserve">Regarding the exclusion of start-ups under the reform, see </w:t>
      </w:r>
      <w:r w:rsidRPr="00C15960">
        <w:rPr>
          <w:smallCaps/>
          <w:lang w:val="en-GB"/>
        </w:rPr>
        <w:t xml:space="preserve">C. Geiger, G. </w:t>
      </w:r>
      <w:proofErr w:type="spellStart"/>
      <w:r w:rsidRPr="00C15960">
        <w:rPr>
          <w:smallCaps/>
          <w:lang w:val="en-GB"/>
        </w:rPr>
        <w:t>Frosio</w:t>
      </w:r>
      <w:proofErr w:type="spellEnd"/>
      <w:r w:rsidRPr="00C15960">
        <w:rPr>
          <w:smallCaps/>
          <w:lang w:val="en-GB"/>
        </w:rPr>
        <w:t xml:space="preserve">, O. </w:t>
      </w:r>
      <w:proofErr w:type="spellStart"/>
      <w:r w:rsidRPr="00C15960">
        <w:rPr>
          <w:smallCaps/>
          <w:lang w:val="en-GB"/>
        </w:rPr>
        <w:t>Bulayenko</w:t>
      </w:r>
      <w:proofErr w:type="spellEnd"/>
      <w:r w:rsidRPr="005C62AD">
        <w:rPr>
          <w:lang w:val="en-GB"/>
        </w:rPr>
        <w:t xml:space="preserve">, </w:t>
      </w:r>
      <w:r w:rsidRPr="005D19C0">
        <w:rPr>
          <w:i/>
          <w:iCs/>
          <w:lang w:val="en-GB"/>
        </w:rPr>
        <w:t>Text and Data Mining: articles 3 and 4 of Directive 2019/790/EU,</w:t>
      </w:r>
      <w:r>
        <w:rPr>
          <w:i/>
          <w:iCs/>
          <w:lang w:val="en-GB"/>
        </w:rPr>
        <w:t xml:space="preserve"> </w:t>
      </w:r>
      <w:r>
        <w:rPr>
          <w:lang w:val="en-GB"/>
        </w:rPr>
        <w:t xml:space="preserve">supra at note 17, p. 36. </w:t>
      </w:r>
    </w:p>
  </w:footnote>
  <w:footnote w:id="74">
    <w:p w14:paraId="707FB887" w14:textId="77777777" w:rsidR="00F819B0" w:rsidRPr="00CB4A05" w:rsidRDefault="00F819B0" w:rsidP="00651F9B">
      <w:pPr>
        <w:pStyle w:val="Testonotaapidipagina"/>
        <w:jc w:val="both"/>
        <w:rPr>
          <w:lang w:val="en-GB"/>
        </w:rPr>
      </w:pPr>
      <w:r>
        <w:rPr>
          <w:rStyle w:val="Rimandonotaapidipagina"/>
        </w:rPr>
        <w:footnoteRef/>
      </w:r>
      <w:r w:rsidRPr="00CB4A05">
        <w:rPr>
          <w:lang w:val="en-GB"/>
        </w:rPr>
        <w:t xml:space="preserve"> </w:t>
      </w:r>
      <w:r>
        <w:rPr>
          <w:lang w:val="en-GB"/>
        </w:rPr>
        <w:t xml:space="preserve">Regarding the need to indicate the use of robot.txt files, see </w:t>
      </w:r>
      <w:proofErr w:type="spellStart"/>
      <w:r w:rsidRPr="00C15960">
        <w:rPr>
          <w:smallCaps/>
          <w:lang w:val="en-GB"/>
        </w:rPr>
        <w:t>Communia</w:t>
      </w:r>
      <w:proofErr w:type="spellEnd"/>
      <w:r>
        <w:rPr>
          <w:lang w:val="en-GB"/>
        </w:rPr>
        <w:t xml:space="preserve">, </w:t>
      </w:r>
      <w:r w:rsidRPr="00EE1C01">
        <w:rPr>
          <w:i/>
          <w:iCs/>
          <w:lang w:val="en-GB"/>
        </w:rPr>
        <w:t>DSM Directive Implementation Guidelines</w:t>
      </w:r>
      <w:r>
        <w:rPr>
          <w:lang w:val="en-GB"/>
        </w:rPr>
        <w:t xml:space="preserve">, </w:t>
      </w:r>
      <w:hyperlink r:id="rId13" w:history="1">
        <w:r w:rsidRPr="003250AB">
          <w:rPr>
            <w:rStyle w:val="Collegamentoipertestuale"/>
            <w:lang w:val="en-GB"/>
          </w:rPr>
          <w:t>https://www.notion.so/DSM-Directive-Implementation-Guidelines</w:t>
        </w:r>
      </w:hyperlink>
      <w:r>
        <w:rPr>
          <w:lang w:val="en-GB"/>
        </w:rPr>
        <w:t xml:space="preserve">, </w:t>
      </w:r>
      <w:r w:rsidRPr="00C15960">
        <w:rPr>
          <w:lang w:val="en-GB"/>
        </w:rPr>
        <w:t xml:space="preserve">last accessed on </w:t>
      </w:r>
      <w:r>
        <w:rPr>
          <w:lang w:val="en-GB"/>
        </w:rPr>
        <w:t xml:space="preserve">25 </w:t>
      </w:r>
      <w:r w:rsidRPr="00C15960">
        <w:rPr>
          <w:lang w:val="en-GB"/>
        </w:rPr>
        <w:t>July 2020.</w:t>
      </w:r>
    </w:p>
  </w:footnote>
  <w:footnote w:id="75">
    <w:p w14:paraId="6ED71737" w14:textId="77777777" w:rsidR="00F819B0" w:rsidRPr="00D9516B" w:rsidRDefault="00F819B0" w:rsidP="00651F9B">
      <w:pPr>
        <w:pStyle w:val="Testonotaapidipagina"/>
        <w:jc w:val="both"/>
        <w:rPr>
          <w:lang w:val="en-GB"/>
        </w:rPr>
      </w:pPr>
      <w:r>
        <w:rPr>
          <w:rStyle w:val="Rimandonotaapidipagina"/>
        </w:rPr>
        <w:footnoteRef/>
      </w:r>
      <w:r w:rsidRPr="00D9516B">
        <w:rPr>
          <w:lang w:val="en-GB"/>
        </w:rPr>
        <w:t xml:space="preserve"> </w:t>
      </w:r>
      <w:r>
        <w:rPr>
          <w:lang w:val="en-GB"/>
        </w:rPr>
        <w:t xml:space="preserve">Regarding standard licenses for the re-use of data, see H. </w:t>
      </w:r>
      <w:proofErr w:type="spellStart"/>
      <w:r w:rsidRPr="00C15960">
        <w:rPr>
          <w:smallCaps/>
          <w:lang w:val="en-GB"/>
        </w:rPr>
        <w:t>Zech</w:t>
      </w:r>
      <w:proofErr w:type="spellEnd"/>
      <w:r w:rsidRPr="00C15960">
        <w:rPr>
          <w:smallCaps/>
          <w:lang w:val="en-GB"/>
        </w:rPr>
        <w:t>,</w:t>
      </w:r>
      <w:r>
        <w:rPr>
          <w:lang w:val="en-GB"/>
        </w:rPr>
        <w:t xml:space="preserve"> </w:t>
      </w:r>
      <w:r w:rsidRPr="0018088E">
        <w:rPr>
          <w:i/>
          <w:iCs/>
          <w:lang w:val="en-GB"/>
        </w:rPr>
        <w:t>Data as a Tradeable Commodity</w:t>
      </w:r>
      <w:r>
        <w:rPr>
          <w:lang w:val="en-GB"/>
        </w:rPr>
        <w:t xml:space="preserve">, in </w:t>
      </w:r>
      <w:r w:rsidRPr="00C15960">
        <w:rPr>
          <w:smallCaps/>
          <w:lang w:val="en-GB"/>
        </w:rPr>
        <w:t xml:space="preserve">A. De </w:t>
      </w:r>
      <w:proofErr w:type="spellStart"/>
      <w:r w:rsidRPr="00C15960">
        <w:rPr>
          <w:smallCaps/>
          <w:lang w:val="en-GB"/>
        </w:rPr>
        <w:t>Franceschi</w:t>
      </w:r>
      <w:proofErr w:type="spellEnd"/>
      <w:r>
        <w:rPr>
          <w:smallCaps/>
          <w:lang w:val="en-GB"/>
        </w:rPr>
        <w:t xml:space="preserve"> (</w:t>
      </w:r>
      <w:r w:rsidRPr="00C15960">
        <w:rPr>
          <w:lang w:val="en-GB"/>
        </w:rPr>
        <w:t>ed</w:t>
      </w:r>
      <w:r>
        <w:rPr>
          <w:smallCaps/>
          <w:lang w:val="en-GB"/>
        </w:rPr>
        <w:t>.)</w:t>
      </w:r>
      <w:r w:rsidRPr="00C15960">
        <w:rPr>
          <w:smallCaps/>
          <w:lang w:val="en-GB"/>
        </w:rPr>
        <w:t>,</w:t>
      </w:r>
      <w:r>
        <w:rPr>
          <w:lang w:val="en-GB"/>
        </w:rPr>
        <w:t xml:space="preserve"> </w:t>
      </w:r>
      <w:r w:rsidRPr="0018088E">
        <w:rPr>
          <w:i/>
          <w:iCs/>
          <w:lang w:val="en-GB"/>
        </w:rPr>
        <w:t>European Contract Law and the Digital Single Market</w:t>
      </w:r>
      <w:r>
        <w:rPr>
          <w:lang w:val="en-GB"/>
        </w:rPr>
        <w:t xml:space="preserve">, </w:t>
      </w:r>
      <w:proofErr w:type="spellStart"/>
      <w:r>
        <w:rPr>
          <w:lang w:val="en-GB"/>
        </w:rPr>
        <w:t>Intersentia</w:t>
      </w:r>
      <w:proofErr w:type="spellEnd"/>
      <w:r>
        <w:rPr>
          <w:lang w:val="en-GB"/>
        </w:rPr>
        <w:t>, 2016, p. 49 ff.</w:t>
      </w:r>
    </w:p>
  </w:footnote>
  <w:footnote w:id="76">
    <w:p w14:paraId="4CA282B4" w14:textId="77777777" w:rsidR="00F819B0" w:rsidRPr="00D028C4" w:rsidRDefault="00F819B0" w:rsidP="00651F9B">
      <w:pPr>
        <w:pStyle w:val="Testonotaapidipagina"/>
        <w:jc w:val="both"/>
        <w:rPr>
          <w:lang w:val="en-GB"/>
        </w:rPr>
      </w:pPr>
      <w:r>
        <w:rPr>
          <w:rStyle w:val="Rimandonotaapidipagina"/>
        </w:rPr>
        <w:footnoteRef/>
      </w:r>
      <w:r>
        <w:rPr>
          <w:lang w:val="en-GB"/>
        </w:rPr>
        <w:t xml:space="preserve"> </w:t>
      </w:r>
      <w:r w:rsidRPr="0090149D">
        <w:rPr>
          <w:lang w:val="en-GB"/>
        </w:rPr>
        <w:t xml:space="preserve">M. </w:t>
      </w:r>
      <w:proofErr w:type="spellStart"/>
      <w:r>
        <w:rPr>
          <w:lang w:val="en-GB"/>
        </w:rPr>
        <w:t>C</w:t>
      </w:r>
      <w:r>
        <w:rPr>
          <w:smallCaps/>
          <w:lang w:val="en-GB"/>
        </w:rPr>
        <w:t>aspers</w:t>
      </w:r>
      <w:proofErr w:type="spellEnd"/>
      <w:r w:rsidRPr="0090149D">
        <w:rPr>
          <w:lang w:val="en-GB"/>
        </w:rPr>
        <w:t xml:space="preserve">, L. </w:t>
      </w:r>
      <w:proofErr w:type="spellStart"/>
      <w:r w:rsidRPr="0090149D">
        <w:rPr>
          <w:lang w:val="en-GB"/>
        </w:rPr>
        <w:t>G</w:t>
      </w:r>
      <w:r>
        <w:rPr>
          <w:smallCaps/>
          <w:lang w:val="en-GB"/>
        </w:rPr>
        <w:t>uibault</w:t>
      </w:r>
      <w:proofErr w:type="spellEnd"/>
      <w:r w:rsidRPr="0090149D">
        <w:rPr>
          <w:lang w:val="en-GB"/>
        </w:rPr>
        <w:t xml:space="preserve"> </w:t>
      </w:r>
      <w:r>
        <w:rPr>
          <w:smallCaps/>
          <w:lang w:val="en-GB"/>
        </w:rPr>
        <w:t>et</w:t>
      </w:r>
      <w:r w:rsidRPr="009E4B17">
        <w:rPr>
          <w:smallCaps/>
          <w:lang w:val="en-GB"/>
        </w:rPr>
        <w:t xml:space="preserve"> AL</w:t>
      </w:r>
      <w:r>
        <w:rPr>
          <w:lang w:val="en-GB"/>
        </w:rPr>
        <w:t>.</w:t>
      </w:r>
      <w:r w:rsidRPr="0090149D">
        <w:rPr>
          <w:lang w:val="en-GB"/>
        </w:rPr>
        <w:t xml:space="preserve">, </w:t>
      </w:r>
      <w:r w:rsidRPr="0090149D">
        <w:rPr>
          <w:i/>
          <w:iCs/>
          <w:lang w:val="en-GB"/>
        </w:rPr>
        <w:t>Baseline report of policies and barriers of TDM in Europe</w:t>
      </w:r>
      <w:r w:rsidRPr="0090149D">
        <w:rPr>
          <w:lang w:val="en-GB"/>
        </w:rPr>
        <w:t>, supra at note 27, p. 71 ff</w:t>
      </w:r>
      <w:r>
        <w:rPr>
          <w:lang w:val="en-GB"/>
        </w:rPr>
        <w:t>.</w:t>
      </w:r>
    </w:p>
  </w:footnote>
  <w:footnote w:id="77">
    <w:p w14:paraId="117D189F" w14:textId="77777777" w:rsidR="00F819B0" w:rsidRPr="00006B63" w:rsidRDefault="00F819B0" w:rsidP="00651F9B">
      <w:pPr>
        <w:pStyle w:val="Testonotaapidipagina"/>
        <w:jc w:val="both"/>
        <w:rPr>
          <w:lang w:val="en-GB"/>
        </w:rPr>
      </w:pPr>
      <w:r>
        <w:rPr>
          <w:rStyle w:val="Rimandonotaapidipagina"/>
        </w:rPr>
        <w:footnoteRef/>
      </w:r>
      <w:r w:rsidRPr="00006B63">
        <w:rPr>
          <w:lang w:val="en-GB"/>
        </w:rPr>
        <w:t xml:space="preserve"> </w:t>
      </w:r>
      <w:r>
        <w:rPr>
          <w:lang w:val="en-GB"/>
        </w:rPr>
        <w:t xml:space="preserve">For the use of Creative Commons licenses as a model for new formalities in the context of copyright, see </w:t>
      </w:r>
      <w:r w:rsidRPr="00C15960">
        <w:rPr>
          <w:smallCaps/>
          <w:lang w:val="en-GB"/>
        </w:rPr>
        <w:t xml:space="preserve">S. van </w:t>
      </w:r>
      <w:proofErr w:type="spellStart"/>
      <w:r w:rsidRPr="00C15960">
        <w:rPr>
          <w:smallCaps/>
          <w:lang w:val="en-GB"/>
        </w:rPr>
        <w:t>Gompel</w:t>
      </w:r>
      <w:proofErr w:type="spellEnd"/>
      <w:r w:rsidRPr="00006B63">
        <w:rPr>
          <w:lang w:val="en-GB"/>
        </w:rPr>
        <w:t xml:space="preserve">, </w:t>
      </w:r>
      <w:r w:rsidRPr="00006B63">
        <w:rPr>
          <w:i/>
          <w:iCs/>
          <w:lang w:val="en-GB"/>
        </w:rPr>
        <w:t>Copyright Formalities in the Internet Age: Filters of Protection or</w:t>
      </w:r>
      <w:r>
        <w:rPr>
          <w:i/>
          <w:iCs/>
          <w:lang w:val="en-GB"/>
        </w:rPr>
        <w:t xml:space="preserve"> </w:t>
      </w:r>
      <w:r w:rsidRPr="00006B63">
        <w:rPr>
          <w:i/>
          <w:iCs/>
          <w:lang w:val="en-GB"/>
        </w:rPr>
        <w:t>Facilitators of Licensing</w:t>
      </w:r>
      <w:r w:rsidRPr="00006B63">
        <w:rPr>
          <w:lang w:val="en-GB"/>
        </w:rPr>
        <w:t>,</w:t>
      </w:r>
      <w:r>
        <w:rPr>
          <w:lang w:val="en-GB"/>
        </w:rPr>
        <w:t xml:space="preserve"> supra at note 69, p. 1436; </w:t>
      </w:r>
      <w:r w:rsidRPr="00443CA9">
        <w:rPr>
          <w:lang w:val="en-GB"/>
        </w:rPr>
        <w:t>C</w:t>
      </w:r>
      <w:r>
        <w:rPr>
          <w:lang w:val="en-GB"/>
        </w:rPr>
        <w:t>.</w:t>
      </w:r>
      <w:r w:rsidRPr="00443CA9">
        <w:rPr>
          <w:lang w:val="en-GB"/>
        </w:rPr>
        <w:t xml:space="preserve"> </w:t>
      </w:r>
      <w:proofErr w:type="spellStart"/>
      <w:r w:rsidRPr="00443CA9">
        <w:rPr>
          <w:lang w:val="en-GB"/>
        </w:rPr>
        <w:t>S</w:t>
      </w:r>
      <w:r w:rsidRPr="00C15960">
        <w:rPr>
          <w:smallCaps/>
          <w:lang w:val="en-GB"/>
        </w:rPr>
        <w:t>prigman</w:t>
      </w:r>
      <w:proofErr w:type="spellEnd"/>
      <w:r w:rsidRPr="00443CA9">
        <w:rPr>
          <w:lang w:val="en-GB"/>
        </w:rPr>
        <w:t xml:space="preserve">, </w:t>
      </w:r>
      <w:r w:rsidRPr="00443CA9">
        <w:rPr>
          <w:i/>
          <w:iCs/>
          <w:lang w:val="en-GB"/>
        </w:rPr>
        <w:t>Reform(</w:t>
      </w:r>
      <w:proofErr w:type="spellStart"/>
      <w:r w:rsidRPr="00443CA9">
        <w:rPr>
          <w:i/>
          <w:iCs/>
          <w:lang w:val="en-GB"/>
        </w:rPr>
        <w:t>aliz</w:t>
      </w:r>
      <w:proofErr w:type="spellEnd"/>
      <w:r w:rsidRPr="00443CA9">
        <w:rPr>
          <w:i/>
          <w:iCs/>
          <w:lang w:val="en-GB"/>
        </w:rPr>
        <w:t>)</w:t>
      </w:r>
      <w:proofErr w:type="spellStart"/>
      <w:r w:rsidRPr="00443CA9">
        <w:rPr>
          <w:i/>
          <w:iCs/>
          <w:lang w:val="en-GB"/>
        </w:rPr>
        <w:t>ing</w:t>
      </w:r>
      <w:proofErr w:type="spellEnd"/>
      <w:r w:rsidRPr="00443CA9">
        <w:rPr>
          <w:i/>
          <w:iCs/>
          <w:lang w:val="en-GB"/>
        </w:rPr>
        <w:t xml:space="preserve"> Copyright,</w:t>
      </w:r>
      <w:r w:rsidRPr="00443CA9">
        <w:rPr>
          <w:lang w:val="en-GB"/>
        </w:rPr>
        <w:t xml:space="preserve"> </w:t>
      </w:r>
      <w:r>
        <w:rPr>
          <w:lang w:val="en-GB"/>
        </w:rPr>
        <w:t xml:space="preserve">in </w:t>
      </w:r>
      <w:r w:rsidRPr="00C15960">
        <w:rPr>
          <w:i/>
          <w:iCs/>
          <w:lang w:val="en-GB"/>
        </w:rPr>
        <w:t>Stan. L. Rev.</w:t>
      </w:r>
      <w:r>
        <w:rPr>
          <w:lang w:val="en-GB"/>
        </w:rPr>
        <w:t xml:space="preserve"> </w:t>
      </w:r>
      <w:r w:rsidRPr="00443CA9">
        <w:rPr>
          <w:lang w:val="en-GB"/>
        </w:rPr>
        <w:t>2004</w:t>
      </w:r>
      <w:r>
        <w:rPr>
          <w:lang w:val="en-GB"/>
        </w:rPr>
        <w:t>, Vol. 57, p. 564.</w:t>
      </w:r>
    </w:p>
  </w:footnote>
  <w:footnote w:id="78">
    <w:p w14:paraId="07264E74" w14:textId="77777777" w:rsidR="00F819B0" w:rsidRPr="00ED642D" w:rsidRDefault="00F819B0" w:rsidP="00651F9B">
      <w:pPr>
        <w:pStyle w:val="Testonotaapidipagina"/>
        <w:jc w:val="both"/>
        <w:rPr>
          <w:lang w:val="en-GB"/>
        </w:rPr>
      </w:pPr>
      <w:r w:rsidRPr="00ED642D">
        <w:rPr>
          <w:rStyle w:val="Rimandonotaapidipagina"/>
        </w:rPr>
        <w:footnoteRef/>
      </w:r>
      <w:r w:rsidRPr="00ED642D">
        <w:rPr>
          <w:lang w:val="en-GB"/>
        </w:rPr>
        <w:t xml:space="preserve"> See M. </w:t>
      </w:r>
      <w:r w:rsidRPr="00C15960">
        <w:rPr>
          <w:smallCaps/>
          <w:lang w:val="en-GB"/>
        </w:rPr>
        <w:t>Carroll,</w:t>
      </w:r>
      <w:r w:rsidRPr="00ED642D">
        <w:rPr>
          <w:lang w:val="en-GB"/>
        </w:rPr>
        <w:t xml:space="preserve"> </w:t>
      </w:r>
      <w:r w:rsidRPr="00ED642D">
        <w:rPr>
          <w:i/>
          <w:iCs/>
          <w:lang w:val="en-GB"/>
        </w:rPr>
        <w:t xml:space="preserve">Creative Commons as Conversational Copyright, </w:t>
      </w:r>
      <w:r w:rsidRPr="00ED642D">
        <w:rPr>
          <w:lang w:val="en-GB"/>
        </w:rPr>
        <w:t>in</w:t>
      </w:r>
      <w:r>
        <w:rPr>
          <w:lang w:val="en-GB"/>
        </w:rPr>
        <w:t xml:space="preserve"> </w:t>
      </w:r>
      <w:r w:rsidRPr="00C15960">
        <w:rPr>
          <w:smallCaps/>
          <w:lang w:val="en-GB"/>
        </w:rPr>
        <w:t>P. K. Yu</w:t>
      </w:r>
      <w:r>
        <w:rPr>
          <w:lang w:val="en-GB"/>
        </w:rPr>
        <w:t xml:space="preserve"> (</w:t>
      </w:r>
      <w:r w:rsidRPr="00ED642D">
        <w:rPr>
          <w:lang w:val="en-GB"/>
        </w:rPr>
        <w:t>ed</w:t>
      </w:r>
      <w:r w:rsidRPr="00ED642D">
        <w:rPr>
          <w:i/>
          <w:iCs/>
          <w:lang w:val="en-GB"/>
        </w:rPr>
        <w:t>.), Intellectual Property and Information Wealth: Issues and Practises in the Digital Age</w:t>
      </w:r>
      <w:r w:rsidRPr="00ED642D">
        <w:rPr>
          <w:lang w:val="en-GB"/>
        </w:rPr>
        <w:t xml:space="preserve">, </w:t>
      </w:r>
      <w:r>
        <w:rPr>
          <w:lang w:val="en-GB"/>
        </w:rPr>
        <w:t xml:space="preserve">Praeger, 2007, p. </w:t>
      </w:r>
      <w:r w:rsidRPr="00ED642D">
        <w:rPr>
          <w:lang w:val="en-GB"/>
        </w:rPr>
        <w:t>445</w:t>
      </w:r>
      <w:r>
        <w:rPr>
          <w:lang w:val="en-GB"/>
        </w:rPr>
        <w:t xml:space="preserve"> ff. </w:t>
      </w:r>
    </w:p>
  </w:footnote>
  <w:footnote w:id="79">
    <w:p w14:paraId="639C5E94" w14:textId="77777777" w:rsidR="00F819B0" w:rsidRPr="00D028C4" w:rsidRDefault="00F819B0" w:rsidP="00651F9B">
      <w:pPr>
        <w:pStyle w:val="Testonotaapidipagina"/>
        <w:jc w:val="both"/>
        <w:rPr>
          <w:lang w:val="en-GB"/>
        </w:rPr>
      </w:pPr>
      <w:r>
        <w:rPr>
          <w:rStyle w:val="Rimandonotaapidipagina"/>
        </w:rPr>
        <w:footnoteRef/>
      </w:r>
      <w:r w:rsidRPr="00D028C4">
        <w:rPr>
          <w:lang w:val="en-GB"/>
        </w:rPr>
        <w:t xml:space="preserve"> </w:t>
      </w:r>
      <w:r w:rsidRPr="000066BF">
        <w:rPr>
          <w:smallCaps/>
          <w:lang w:val="en-GB"/>
        </w:rPr>
        <w:t>European Commission</w:t>
      </w:r>
      <w:r w:rsidRPr="00D028C4">
        <w:rPr>
          <w:lang w:val="en-GB"/>
        </w:rPr>
        <w:t xml:space="preserve">, </w:t>
      </w:r>
      <w:r w:rsidRPr="00FF7BBC">
        <w:rPr>
          <w:i/>
          <w:iCs/>
          <w:lang w:val="en-GB"/>
        </w:rPr>
        <w:t>White paper on Artificial Intelligence - A European approach to excellence and trust</w:t>
      </w:r>
      <w:r w:rsidRPr="00D028C4">
        <w:rPr>
          <w:lang w:val="en-GB"/>
        </w:rPr>
        <w:t xml:space="preserve">, Brussels, 19.2.2020, </w:t>
      </w:r>
      <w:proofErr w:type="gramStart"/>
      <w:r w:rsidRPr="00D028C4">
        <w:rPr>
          <w:lang w:val="en-GB"/>
        </w:rPr>
        <w:t>COM(</w:t>
      </w:r>
      <w:proofErr w:type="gramEnd"/>
      <w:r w:rsidRPr="00D028C4">
        <w:rPr>
          <w:lang w:val="en-GB"/>
        </w:rPr>
        <w:t>2020) 65 final</w:t>
      </w:r>
      <w:r>
        <w:rPr>
          <w:lang w:val="en-GB"/>
        </w:rPr>
        <w:t xml:space="preserve">, p. 3. </w:t>
      </w:r>
    </w:p>
  </w:footnote>
  <w:footnote w:id="80">
    <w:p w14:paraId="00E53494" w14:textId="77777777" w:rsidR="00F819B0" w:rsidRPr="00977A25" w:rsidRDefault="00F819B0" w:rsidP="00651F9B">
      <w:pPr>
        <w:pStyle w:val="Testonotaapidipagina"/>
        <w:jc w:val="both"/>
        <w:rPr>
          <w:lang w:val="en-GB"/>
        </w:rPr>
      </w:pPr>
      <w:r>
        <w:rPr>
          <w:rStyle w:val="Rimandonotaapidipagina"/>
        </w:rPr>
        <w:footnoteRef/>
      </w:r>
      <w:r w:rsidRPr="00977A25">
        <w:rPr>
          <w:lang w:val="en-GB"/>
        </w:rPr>
        <w:t xml:space="preserve"> </w:t>
      </w:r>
      <w:r>
        <w:rPr>
          <w:lang w:val="en-GB"/>
        </w:rPr>
        <w:t xml:space="preserve">For a detailed analysis of data pools, see A. </w:t>
      </w:r>
      <w:proofErr w:type="spellStart"/>
      <w:r w:rsidRPr="000066BF">
        <w:rPr>
          <w:smallCaps/>
          <w:lang w:val="en-GB"/>
        </w:rPr>
        <w:t>Ottolia</w:t>
      </w:r>
      <w:proofErr w:type="spellEnd"/>
      <w:r w:rsidRPr="00977A25">
        <w:rPr>
          <w:i/>
          <w:iCs/>
          <w:lang w:val="en-GB"/>
        </w:rPr>
        <w:t xml:space="preserve">, Big Data e </w:t>
      </w:r>
      <w:proofErr w:type="spellStart"/>
      <w:r w:rsidRPr="00977A25">
        <w:rPr>
          <w:i/>
          <w:iCs/>
          <w:lang w:val="en-GB"/>
        </w:rPr>
        <w:t>innovazione</w:t>
      </w:r>
      <w:proofErr w:type="spellEnd"/>
      <w:r w:rsidRPr="00977A25">
        <w:rPr>
          <w:i/>
          <w:iCs/>
          <w:lang w:val="en-GB"/>
        </w:rPr>
        <w:t xml:space="preserve"> </w:t>
      </w:r>
      <w:proofErr w:type="spellStart"/>
      <w:r w:rsidRPr="00977A25">
        <w:rPr>
          <w:i/>
          <w:iCs/>
          <w:lang w:val="en-GB"/>
        </w:rPr>
        <w:t>computazionale</w:t>
      </w:r>
      <w:proofErr w:type="spellEnd"/>
      <w:r>
        <w:rPr>
          <w:lang w:val="en-GB"/>
        </w:rPr>
        <w:t>, supra at note 20, p. 272 ff.</w:t>
      </w:r>
    </w:p>
  </w:footnote>
  <w:footnote w:id="81">
    <w:p w14:paraId="741EB8F3" w14:textId="77777777" w:rsidR="00F819B0" w:rsidRPr="00EC3F04" w:rsidRDefault="00F819B0" w:rsidP="00651F9B">
      <w:pPr>
        <w:pStyle w:val="Testonotaapidipagina"/>
        <w:rPr>
          <w:lang w:val="en-GB"/>
        </w:rPr>
      </w:pPr>
      <w:r>
        <w:rPr>
          <w:rStyle w:val="Rimandonotaapidipagina"/>
        </w:rPr>
        <w:footnoteRef/>
      </w:r>
      <w:r w:rsidRPr="00EC3F04">
        <w:rPr>
          <w:lang w:val="en-GB"/>
        </w:rPr>
        <w:t xml:space="preserve"> </w:t>
      </w:r>
      <w:r w:rsidRPr="000066BF">
        <w:rPr>
          <w:smallCaps/>
          <w:lang w:val="en-GB"/>
        </w:rPr>
        <w:t>European Commission,</w:t>
      </w:r>
      <w:r w:rsidRPr="00051AD8">
        <w:rPr>
          <w:lang w:val="en-GB"/>
        </w:rPr>
        <w:t xml:space="preserve"> </w:t>
      </w:r>
      <w:r w:rsidRPr="00BA7D62">
        <w:rPr>
          <w:i/>
          <w:iCs/>
          <w:lang w:val="en-GB"/>
        </w:rPr>
        <w:t>A European strategy for data</w:t>
      </w:r>
      <w:r w:rsidRPr="00051AD8">
        <w:rPr>
          <w:lang w:val="en-GB"/>
        </w:rPr>
        <w:t xml:space="preserve">, Brussels, 19.2.2020 </w:t>
      </w:r>
      <w:proofErr w:type="gramStart"/>
      <w:r w:rsidRPr="00051AD8">
        <w:rPr>
          <w:lang w:val="en-GB"/>
        </w:rPr>
        <w:t>COM(</w:t>
      </w:r>
      <w:proofErr w:type="gramEnd"/>
      <w:r w:rsidRPr="00051AD8">
        <w:rPr>
          <w:lang w:val="en-GB"/>
        </w:rPr>
        <w:t>2020) 66</w:t>
      </w:r>
      <w:r>
        <w:rPr>
          <w:lang w:val="en-GB"/>
        </w:rPr>
        <w:t>.</w:t>
      </w:r>
    </w:p>
  </w:footnote>
  <w:footnote w:id="82">
    <w:p w14:paraId="59AA4268" w14:textId="77777777" w:rsidR="00F819B0" w:rsidRPr="00433747" w:rsidRDefault="00F819B0" w:rsidP="00651F9B">
      <w:pPr>
        <w:pStyle w:val="Testonotaapidipagina"/>
        <w:jc w:val="both"/>
        <w:rPr>
          <w:lang w:val="en-GB"/>
        </w:rPr>
      </w:pPr>
      <w:r>
        <w:rPr>
          <w:rStyle w:val="Rimandonotaapidipagina"/>
        </w:rPr>
        <w:footnoteRef/>
      </w:r>
      <w:r w:rsidRPr="000B3B1C">
        <w:rPr>
          <w:lang w:val="en-GB"/>
        </w:rPr>
        <w:t xml:space="preserve"> </w:t>
      </w:r>
      <w:r w:rsidRPr="000066BF">
        <w:rPr>
          <w:smallCaps/>
          <w:lang w:val="en-GB"/>
        </w:rPr>
        <w:t>European Commission</w:t>
      </w:r>
      <w:r>
        <w:rPr>
          <w:lang w:val="en-GB"/>
        </w:rPr>
        <w:t xml:space="preserve">, </w:t>
      </w:r>
      <w:r w:rsidRPr="000B3B1C">
        <w:rPr>
          <w:i/>
          <w:iCs/>
          <w:lang w:val="en-GB"/>
        </w:rPr>
        <w:t>White Paper On Artificial Intelligence - A European approach to excellence and trust</w:t>
      </w:r>
      <w:r>
        <w:rPr>
          <w:i/>
          <w:iCs/>
          <w:lang w:val="en-GB"/>
        </w:rPr>
        <w:t xml:space="preserve">, </w:t>
      </w:r>
      <w:r w:rsidRPr="00433747">
        <w:rPr>
          <w:lang w:val="en-GB"/>
        </w:rPr>
        <w:t xml:space="preserve">Brussels, 19.2.2020 </w:t>
      </w:r>
      <w:proofErr w:type="gramStart"/>
      <w:r w:rsidRPr="00433747">
        <w:rPr>
          <w:lang w:val="en-GB"/>
        </w:rPr>
        <w:t>COM(</w:t>
      </w:r>
      <w:proofErr w:type="gramEnd"/>
      <w:r w:rsidRPr="00433747">
        <w:rPr>
          <w:lang w:val="en-GB"/>
        </w:rPr>
        <w:t>2020) 65</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08D4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CC9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C1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2AD3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08D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C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6E5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48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A0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88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73F"/>
    <w:multiLevelType w:val="hybridMultilevel"/>
    <w:tmpl w:val="D99017FC"/>
    <w:lvl w:ilvl="0" w:tplc="895275A0">
      <w:numFmt w:val="bullet"/>
      <w:lvlText w:val="-"/>
      <w:lvlJc w:val="left"/>
      <w:pPr>
        <w:ind w:left="757" w:hanging="360"/>
      </w:pPr>
      <w:rPr>
        <w:rFonts w:ascii="Calibri" w:eastAsiaTheme="minorHAnsi" w:hAnsi="Calibri" w:cs="Calibri"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cs="Wingdings" w:hint="default"/>
      </w:rPr>
    </w:lvl>
    <w:lvl w:ilvl="3" w:tplc="04100001" w:tentative="1">
      <w:start w:val="1"/>
      <w:numFmt w:val="bullet"/>
      <w:lvlText w:val=""/>
      <w:lvlJc w:val="left"/>
      <w:pPr>
        <w:ind w:left="2917" w:hanging="360"/>
      </w:pPr>
      <w:rPr>
        <w:rFonts w:ascii="Symbol" w:hAnsi="Symbol" w:cs="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cs="Wingdings" w:hint="default"/>
      </w:rPr>
    </w:lvl>
    <w:lvl w:ilvl="6" w:tplc="04100001" w:tentative="1">
      <w:start w:val="1"/>
      <w:numFmt w:val="bullet"/>
      <w:lvlText w:val=""/>
      <w:lvlJc w:val="left"/>
      <w:pPr>
        <w:ind w:left="5077" w:hanging="360"/>
      </w:pPr>
      <w:rPr>
        <w:rFonts w:ascii="Symbol" w:hAnsi="Symbol" w:cs="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cs="Wingdings" w:hint="default"/>
      </w:rPr>
    </w:lvl>
  </w:abstractNum>
  <w:abstractNum w:abstractNumId="11" w15:restartNumberingAfterBreak="0">
    <w:nsid w:val="094D0D1C"/>
    <w:multiLevelType w:val="hybridMultilevel"/>
    <w:tmpl w:val="213EB7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ABB4650"/>
    <w:multiLevelType w:val="hybridMultilevel"/>
    <w:tmpl w:val="AED49944"/>
    <w:lvl w:ilvl="0" w:tplc="603E965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5FC29BA"/>
    <w:multiLevelType w:val="hybridMultilevel"/>
    <w:tmpl w:val="2A0A44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9674942"/>
    <w:multiLevelType w:val="hybridMultilevel"/>
    <w:tmpl w:val="68EEF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4C57B5"/>
    <w:multiLevelType w:val="hybridMultilevel"/>
    <w:tmpl w:val="50068F84"/>
    <w:lvl w:ilvl="0" w:tplc="04100001">
      <w:start w:val="1"/>
      <w:numFmt w:val="bullet"/>
      <w:lvlText w:val=""/>
      <w:lvlJc w:val="left"/>
      <w:pPr>
        <w:ind w:left="360" w:hanging="360"/>
      </w:pPr>
      <w:rPr>
        <w:rFonts w:ascii="Symbol" w:hAnsi="Symbol" w:hint="default"/>
        <w:b w:val="0"/>
        <w:bCs w:val="0"/>
        <w:i w:val="0"/>
        <w:iCs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4B830AC"/>
    <w:multiLevelType w:val="hybridMultilevel"/>
    <w:tmpl w:val="7AB6F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DC5377F"/>
    <w:multiLevelType w:val="hybridMultilevel"/>
    <w:tmpl w:val="5D6215F6"/>
    <w:lvl w:ilvl="0" w:tplc="DD32476A">
      <w:start w:val="1"/>
      <w:numFmt w:val="decimal"/>
      <w:lvlText w:val="%1."/>
      <w:lvlJc w:val="left"/>
      <w:pPr>
        <w:ind w:left="360" w:hanging="360"/>
      </w:pPr>
      <w:rPr>
        <w:rFonts w:hint="default"/>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7"/>
  </w:num>
  <w:num w:numId="2">
    <w:abstractNumId w:val="16"/>
  </w:num>
  <w:num w:numId="3">
    <w:abstractNumId w:val="10"/>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5"/>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9B"/>
    <w:rsid w:val="00010169"/>
    <w:rsid w:val="0005038F"/>
    <w:rsid w:val="000A1A2E"/>
    <w:rsid w:val="000A6170"/>
    <w:rsid w:val="000D529D"/>
    <w:rsid w:val="000F2E8A"/>
    <w:rsid w:val="00106DB8"/>
    <w:rsid w:val="001B2BCA"/>
    <w:rsid w:val="002C6C5F"/>
    <w:rsid w:val="00390DFB"/>
    <w:rsid w:val="00413994"/>
    <w:rsid w:val="00442587"/>
    <w:rsid w:val="00471A27"/>
    <w:rsid w:val="004975BD"/>
    <w:rsid w:val="004C0D30"/>
    <w:rsid w:val="0057081A"/>
    <w:rsid w:val="005A70A1"/>
    <w:rsid w:val="005B265F"/>
    <w:rsid w:val="005D7CB2"/>
    <w:rsid w:val="005E4C29"/>
    <w:rsid w:val="00651F9B"/>
    <w:rsid w:val="007B20AB"/>
    <w:rsid w:val="00807E79"/>
    <w:rsid w:val="00882A61"/>
    <w:rsid w:val="008D4909"/>
    <w:rsid w:val="00942E59"/>
    <w:rsid w:val="00A14CC6"/>
    <w:rsid w:val="00AB03ED"/>
    <w:rsid w:val="00BE3A5D"/>
    <w:rsid w:val="00C7000A"/>
    <w:rsid w:val="00C80C19"/>
    <w:rsid w:val="00DB0DBA"/>
    <w:rsid w:val="00F26EA6"/>
    <w:rsid w:val="00F81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4F88"/>
  <w15:chartTrackingRefBased/>
  <w15:docId w15:val="{36B37998-0570-4A2E-8EC8-19B301B9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F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1F9B"/>
    <w:rPr>
      <w:color w:val="0563C1" w:themeColor="hyperlink"/>
      <w:u w:val="single"/>
    </w:rPr>
  </w:style>
  <w:style w:type="character" w:customStyle="1" w:styleId="Menzionenonrisolta1">
    <w:name w:val="Menzione non risolta1"/>
    <w:basedOn w:val="Carpredefinitoparagrafo"/>
    <w:uiPriority w:val="99"/>
    <w:semiHidden/>
    <w:unhideWhenUsed/>
    <w:rsid w:val="00651F9B"/>
    <w:rPr>
      <w:color w:val="605E5C"/>
      <w:shd w:val="clear" w:color="auto" w:fill="E1DFDD"/>
    </w:rPr>
  </w:style>
  <w:style w:type="paragraph" w:styleId="Testonotaapidipagina">
    <w:name w:val="footnote text"/>
    <w:basedOn w:val="Normale"/>
    <w:link w:val="TestonotaapidipaginaCarattere"/>
    <w:uiPriority w:val="99"/>
    <w:unhideWhenUsed/>
    <w:rsid w:val="00651F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51F9B"/>
    <w:rPr>
      <w:sz w:val="20"/>
      <w:szCs w:val="20"/>
    </w:rPr>
  </w:style>
  <w:style w:type="character" w:styleId="Rimandonotaapidipagina">
    <w:name w:val="footnote reference"/>
    <w:basedOn w:val="Carpredefinitoparagrafo"/>
    <w:uiPriority w:val="99"/>
    <w:semiHidden/>
    <w:unhideWhenUsed/>
    <w:rsid w:val="00651F9B"/>
    <w:rPr>
      <w:vertAlign w:val="superscript"/>
    </w:rPr>
  </w:style>
  <w:style w:type="paragraph" w:styleId="Intestazione">
    <w:name w:val="header"/>
    <w:basedOn w:val="Normale"/>
    <w:link w:val="IntestazioneCarattere"/>
    <w:uiPriority w:val="99"/>
    <w:unhideWhenUsed/>
    <w:rsid w:val="00651F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F9B"/>
  </w:style>
  <w:style w:type="paragraph" w:styleId="Pidipagina">
    <w:name w:val="footer"/>
    <w:basedOn w:val="Normale"/>
    <w:link w:val="PidipaginaCarattere"/>
    <w:uiPriority w:val="99"/>
    <w:unhideWhenUsed/>
    <w:rsid w:val="00651F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F9B"/>
  </w:style>
  <w:style w:type="paragraph" w:styleId="Paragrafoelenco">
    <w:name w:val="List Paragraph"/>
    <w:basedOn w:val="Normale"/>
    <w:uiPriority w:val="34"/>
    <w:qFormat/>
    <w:rsid w:val="00651F9B"/>
    <w:pPr>
      <w:ind w:left="720"/>
      <w:contextualSpacing/>
    </w:pPr>
  </w:style>
  <w:style w:type="character" w:styleId="Rimandocommento">
    <w:name w:val="annotation reference"/>
    <w:basedOn w:val="Carpredefinitoparagrafo"/>
    <w:uiPriority w:val="99"/>
    <w:semiHidden/>
    <w:unhideWhenUsed/>
    <w:rsid w:val="00651F9B"/>
    <w:rPr>
      <w:sz w:val="16"/>
      <w:szCs w:val="16"/>
    </w:rPr>
  </w:style>
  <w:style w:type="paragraph" w:styleId="Testocommento">
    <w:name w:val="annotation text"/>
    <w:basedOn w:val="Normale"/>
    <w:link w:val="TestocommentoCarattere"/>
    <w:uiPriority w:val="99"/>
    <w:unhideWhenUsed/>
    <w:rsid w:val="00651F9B"/>
    <w:pPr>
      <w:spacing w:line="240" w:lineRule="auto"/>
    </w:pPr>
    <w:rPr>
      <w:sz w:val="20"/>
      <w:szCs w:val="20"/>
      <w:lang w:val="en-GB"/>
    </w:rPr>
  </w:style>
  <w:style w:type="character" w:customStyle="1" w:styleId="TestocommentoCarattere">
    <w:name w:val="Testo commento Carattere"/>
    <w:basedOn w:val="Carpredefinitoparagrafo"/>
    <w:link w:val="Testocommento"/>
    <w:uiPriority w:val="99"/>
    <w:rsid w:val="00651F9B"/>
    <w:rPr>
      <w:sz w:val="20"/>
      <w:szCs w:val="20"/>
      <w:lang w:val="en-GB"/>
    </w:rPr>
  </w:style>
  <w:style w:type="paragraph" w:styleId="Soggettocommento">
    <w:name w:val="annotation subject"/>
    <w:basedOn w:val="Testocommento"/>
    <w:next w:val="Testocommento"/>
    <w:link w:val="SoggettocommentoCarattere"/>
    <w:uiPriority w:val="99"/>
    <w:semiHidden/>
    <w:unhideWhenUsed/>
    <w:rsid w:val="00651F9B"/>
    <w:rPr>
      <w:b/>
      <w:bCs/>
    </w:rPr>
  </w:style>
  <w:style w:type="character" w:customStyle="1" w:styleId="SoggettocommentoCarattere">
    <w:name w:val="Soggetto commento Carattere"/>
    <w:basedOn w:val="TestocommentoCarattere"/>
    <w:link w:val="Soggettocommento"/>
    <w:uiPriority w:val="99"/>
    <w:semiHidden/>
    <w:rsid w:val="00651F9B"/>
    <w:rPr>
      <w:b/>
      <w:bCs/>
      <w:sz w:val="20"/>
      <w:szCs w:val="20"/>
      <w:lang w:val="en-GB"/>
    </w:rPr>
  </w:style>
  <w:style w:type="paragraph" w:styleId="Revisione">
    <w:name w:val="Revision"/>
    <w:hidden/>
    <w:uiPriority w:val="99"/>
    <w:semiHidden/>
    <w:rsid w:val="00651F9B"/>
    <w:pPr>
      <w:spacing w:after="0" w:line="240" w:lineRule="auto"/>
    </w:pPr>
  </w:style>
  <w:style w:type="paragraph" w:styleId="Testofumetto">
    <w:name w:val="Balloon Text"/>
    <w:basedOn w:val="Normale"/>
    <w:link w:val="TestofumettoCarattere"/>
    <w:uiPriority w:val="99"/>
    <w:semiHidden/>
    <w:unhideWhenUsed/>
    <w:rsid w:val="00651F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1F9B"/>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651F9B"/>
    <w:rPr>
      <w:color w:val="605E5C"/>
      <w:shd w:val="clear" w:color="auto" w:fill="E1DFDD"/>
    </w:rPr>
  </w:style>
  <w:style w:type="paragraph" w:styleId="Nessunaspaziatura">
    <w:name w:val="No Spacing"/>
    <w:uiPriority w:val="1"/>
    <w:qFormat/>
    <w:rsid w:val="0065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odo.org/communities/trentolawtechgroup/" TargetMode="External"/><Relationship Id="rId13" Type="http://schemas.openxmlformats.org/officeDocument/2006/relationships/hyperlink" Target="https://www.forbes.com/sites/forbestechcouncil/2019/11/15/data-is-the-new-oil-and-thats-a-good-thing/" TargetMode="External"/><Relationship Id="rId18" Type="http://schemas.openxmlformats.org/officeDocument/2006/relationships/hyperlink" Target="https://www.economist.com/leaders/2017/05/06/the-worlds-most-valuable-resource-is-no-longer-oil-but-da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internal_market/copyright/docs/studies/1403_study2_en." TargetMode="External"/><Relationship Id="rId17" Type="http://schemas.openxmlformats.org/officeDocument/2006/relationships/hyperlink" Target="http://copyrightblog.kluweriplaw.com/2016/05/11/eu-exception-text-data-mining-pipeline/" TargetMode="External"/><Relationship Id="rId2" Type="http://schemas.openxmlformats.org/officeDocument/2006/relationships/numbering" Target="numbering.xml"/><Relationship Id="rId16" Type="http://schemas.openxmlformats.org/officeDocument/2006/relationships/hyperlink" Target="https://time.com/5357221/obvious-artificial-intelligence-art/" TargetMode="External"/><Relationship Id="rId20" Type="http://schemas.openxmlformats.org/officeDocument/2006/relationships/hyperlink" Target="https://www.theverge.com/2018/10/23/18013190/ai-art-portrait-auction-christies-belamy-obvious-robbie-barrat-g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419/202237" TargetMode="External"/><Relationship Id="rId5" Type="http://schemas.openxmlformats.org/officeDocument/2006/relationships/webSettings" Target="webSettings.xml"/><Relationship Id="rId15" Type="http://schemas.openxmlformats.org/officeDocument/2006/relationships/hyperlink" Target="http://copyrightblog.kluweriplaw.com/2019/07/24/the-new-copyright-directive-text-and-data-mining-articles-3-and-4/" TargetMode="External"/><Relationship Id="rId23" Type="http://schemas.openxmlformats.org/officeDocument/2006/relationships/theme" Target="theme/theme1.xml"/><Relationship Id="rId10" Type="http://schemas.openxmlformats.org/officeDocument/2006/relationships/hyperlink" Target="https://arxiv.org/abs/1406.2661" TargetMode="External"/><Relationship Id="rId19" Type="http://schemas.openxmlformats.org/officeDocument/2006/relationships/hyperlink" Target="https://medium.com/@nturkewitz_56674/sustainabletext-and-data-mining-an-look-at-the-recent-eu-copyright-directive-9ea13ba05f60" TargetMode="External"/><Relationship Id="rId4" Type="http://schemas.openxmlformats.org/officeDocument/2006/relationships/settings" Target="settings.xml"/><Relationship Id="rId9" Type="http://schemas.openxmlformats.org/officeDocument/2006/relationships/hyperlink" Target="https://www.notion.so/DSM-Directive-Implementation-Guidelines-45233be9c0e143338860ae5a03118bf3" TargetMode="External"/><Relationship Id="rId14" Type="http://schemas.openxmlformats.org/officeDocument/2006/relationships/hyperlink" Target="https://www.christies.com/features/A-collaboration-between-two-artists-one-human-one-a-machine-9332-1.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opyrightblog.kluweriplaw.com/2016/05/11/eu-exception-text-data-mining-pipeline/" TargetMode="External"/><Relationship Id="rId13" Type="http://schemas.openxmlformats.org/officeDocument/2006/relationships/hyperlink" Target="https://www.notion.so/DSM-Directive-Implementation-Guidelines" TargetMode="External"/><Relationship Id="rId3" Type="http://schemas.openxmlformats.org/officeDocument/2006/relationships/hyperlink" Target="https://www.europarl.europa.eu/news/it/press-room/20180926IPR14403/free-flow-of-non-personal-data-parliament-approves-eu-s-fifth-freedom" TargetMode="External"/><Relationship Id="rId7" Type="http://schemas.openxmlformats.org/officeDocument/2006/relationships/hyperlink" Target="https://time.com/5357221/obvious-artificial-intelligence-art/" TargetMode="External"/><Relationship Id="rId12" Type="http://schemas.openxmlformats.org/officeDocument/2006/relationships/hyperlink" Target="http://www.robotstxt.org/robotstxt.html" TargetMode="External"/><Relationship Id="rId2" Type="http://schemas.openxmlformats.org/officeDocument/2006/relationships/hyperlink" Target="https://www.forbes.com/sites/forbestechcouncil/2019/11/15/data-is-the-new-oil-and-thats-a-good-thing/" TargetMode="External"/><Relationship Id="rId1" Type="http://schemas.openxmlformats.org/officeDocument/2006/relationships/hyperlink" Target="https://www.economist.com/leaders/2017/05/06/the-worlds-most-valuable-resource-is-no-longer-oil-but-data" TargetMode="External"/><Relationship Id="rId6" Type="http://schemas.openxmlformats.org/officeDocument/2006/relationships/hyperlink" Target="https://arxiv.org/abs/1406.2661" TargetMode="External"/><Relationship Id="rId11" Type="http://schemas.openxmlformats.org/officeDocument/2006/relationships/hyperlink" Target="https://medium.com/@nturkewitz_56674/sustainabletext-and-data-mining-an-look-at-the-recent-eu-copyright-directiveea13ba05f60" TargetMode="External"/><Relationship Id="rId5" Type="http://schemas.openxmlformats.org/officeDocument/2006/relationships/hyperlink" Target="https://www.theverge.com/2018/10/23/18013190/ai-art-portrait-auction-christies-belamy-obvious-robbie-barrat-gans" TargetMode="External"/><Relationship Id="rId10" Type="http://schemas.openxmlformats.org/officeDocument/2006/relationships/hyperlink" Target="http://copyrightblog.kluweriplaw.com/2019/07/24/the-new-copyright-directive-text-and-data-mining-articles-3-and-4/" TargetMode="External"/><Relationship Id="rId4" Type="http://schemas.openxmlformats.org/officeDocument/2006/relationships/hyperlink" Target="https://www.christies.com/features/A-collaboration-between-two-artists-one-human-one-a-machine-9332-1.aspx" TargetMode="External"/><Relationship Id="rId9" Type="http://schemas.openxmlformats.org/officeDocument/2006/relationships/hyperlink" Target="https://aiartists.org/ai-generated-art-tool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B22E-84D9-476C-803C-79D015C7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20</Pages>
  <Words>7417</Words>
  <Characters>42280</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Gatti</dc:creator>
  <cp:keywords/>
  <dc:description/>
  <cp:lastModifiedBy>Luisa Gatti</cp:lastModifiedBy>
  <cp:revision>23</cp:revision>
  <cp:lastPrinted>2020-12-13T16:42:00Z</cp:lastPrinted>
  <dcterms:created xsi:type="dcterms:W3CDTF">2020-12-12T17:26:00Z</dcterms:created>
  <dcterms:modified xsi:type="dcterms:W3CDTF">2020-12-13T22:24:00Z</dcterms:modified>
</cp:coreProperties>
</file>