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5" w:type="dxa"/>
        <w:tblLayout w:type="fixed"/>
        <w:tblLook w:val="0000" w:firstRow="0" w:lastRow="0" w:firstColumn="0" w:lastColumn="0" w:noHBand="0" w:noVBand="0"/>
      </w:tblPr>
      <w:tblGrid>
        <w:gridCol w:w="1260"/>
        <w:gridCol w:w="2730"/>
        <w:gridCol w:w="2820"/>
        <w:gridCol w:w="2745"/>
      </w:tblGrid>
      <w:tr w:rsidR="003A0195" w14:paraId="6418D373" w14:textId="77777777" w:rsidTr="00E9582A">
        <w:tc>
          <w:tcPr>
            <w:tcW w:w="126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68E70EA3" w14:textId="77777777" w:rsidR="003A0195" w:rsidRDefault="003A0195" w:rsidP="00E9582A">
            <w:pPr>
              <w:ind w:hanging="2"/>
              <w:rPr>
                <w:color w:val="38761D"/>
                <w:sz w:val="22"/>
                <w:szCs w:val="22"/>
              </w:rPr>
            </w:pPr>
            <w:r>
              <w:rPr>
                <w:b/>
                <w:color w:val="38761D"/>
                <w:sz w:val="20"/>
                <w:szCs w:val="20"/>
              </w:rPr>
              <w:t>Evaluation level and type</w:t>
            </w:r>
          </w:p>
        </w:tc>
        <w:tc>
          <w:tcPr>
            <w:tcW w:w="273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0329654D" w14:textId="77777777" w:rsidR="003A0195" w:rsidRDefault="003A0195" w:rsidP="00E9582A">
            <w:pPr>
              <w:ind w:hanging="2"/>
              <w:rPr>
                <w:color w:val="38761D"/>
                <w:sz w:val="20"/>
                <w:szCs w:val="20"/>
              </w:rPr>
            </w:pPr>
            <w:r>
              <w:rPr>
                <w:b/>
                <w:color w:val="38761D"/>
                <w:sz w:val="20"/>
                <w:szCs w:val="20"/>
              </w:rPr>
              <w:t>Evaluation description and characteristics</w:t>
            </w:r>
          </w:p>
        </w:tc>
        <w:tc>
          <w:tcPr>
            <w:tcW w:w="282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661FF0FE" w14:textId="77777777" w:rsidR="003A0195" w:rsidRDefault="003A0195" w:rsidP="00E9582A">
            <w:pPr>
              <w:ind w:hanging="2"/>
              <w:rPr>
                <w:color w:val="38761D"/>
                <w:sz w:val="20"/>
                <w:szCs w:val="20"/>
              </w:rPr>
            </w:pPr>
            <w:r>
              <w:rPr>
                <w:b/>
                <w:color w:val="38761D"/>
                <w:sz w:val="20"/>
                <w:szCs w:val="20"/>
              </w:rPr>
              <w:t>Examples of evaluation tools and methods</w:t>
            </w:r>
          </w:p>
        </w:tc>
        <w:tc>
          <w:tcPr>
            <w:tcW w:w="274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726D3F0D" w14:textId="77777777" w:rsidR="003A0195" w:rsidRDefault="003A0195" w:rsidP="00E9582A">
            <w:pPr>
              <w:ind w:hanging="2"/>
              <w:rPr>
                <w:color w:val="38761D"/>
                <w:sz w:val="20"/>
                <w:szCs w:val="20"/>
              </w:rPr>
            </w:pPr>
            <w:r>
              <w:rPr>
                <w:b/>
                <w:color w:val="38761D"/>
                <w:sz w:val="20"/>
                <w:szCs w:val="20"/>
              </w:rPr>
              <w:t>Relevance and practicability</w:t>
            </w:r>
          </w:p>
        </w:tc>
      </w:tr>
      <w:tr w:rsidR="003A0195" w14:paraId="37DB7CFC" w14:textId="77777777" w:rsidTr="00E9582A">
        <w:tc>
          <w:tcPr>
            <w:tcW w:w="126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2774DB30" w14:textId="77777777" w:rsidR="003A0195" w:rsidRDefault="003A0195" w:rsidP="00E9582A">
            <w:pPr>
              <w:ind w:hanging="2"/>
              <w:rPr>
                <w:color w:val="38761D"/>
                <w:sz w:val="20"/>
                <w:szCs w:val="20"/>
              </w:rPr>
            </w:pPr>
            <w:r>
              <w:rPr>
                <w:b/>
                <w:color w:val="38761D"/>
                <w:sz w:val="20"/>
                <w:szCs w:val="20"/>
              </w:rPr>
              <w:t>3. Behaviour/ Transfer</w:t>
            </w:r>
          </w:p>
        </w:tc>
        <w:tc>
          <w:tcPr>
            <w:tcW w:w="273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4909964E" w14:textId="77777777" w:rsidR="003A0195" w:rsidRDefault="003A0195" w:rsidP="00E9582A">
            <w:pPr>
              <w:spacing w:after="280"/>
              <w:ind w:hanging="2"/>
              <w:rPr>
                <w:color w:val="38761D"/>
                <w:sz w:val="20"/>
                <w:szCs w:val="20"/>
              </w:rPr>
            </w:pPr>
            <w:r>
              <w:rPr>
                <w:b/>
                <w:color w:val="38761D"/>
                <w:sz w:val="20"/>
                <w:szCs w:val="20"/>
              </w:rPr>
              <w:t>Behaviour evaluation</w:t>
            </w:r>
            <w:r>
              <w:rPr>
                <w:color w:val="38761D"/>
                <w:sz w:val="20"/>
                <w:szCs w:val="20"/>
              </w:rPr>
              <w:t> is the extent to which the trainees </w:t>
            </w:r>
            <w:r>
              <w:rPr>
                <w:b/>
                <w:color w:val="38761D"/>
                <w:sz w:val="20"/>
                <w:szCs w:val="20"/>
              </w:rPr>
              <w:t>applied the learning</w:t>
            </w:r>
            <w:r>
              <w:rPr>
                <w:color w:val="38761D"/>
                <w:sz w:val="20"/>
                <w:szCs w:val="20"/>
              </w:rPr>
              <w:t> and </w:t>
            </w:r>
            <w:r>
              <w:rPr>
                <w:b/>
                <w:color w:val="38761D"/>
                <w:sz w:val="20"/>
                <w:szCs w:val="20"/>
              </w:rPr>
              <w:t>changed their behaviour</w:t>
            </w:r>
            <w:r>
              <w:rPr>
                <w:color w:val="38761D"/>
                <w:sz w:val="20"/>
                <w:szCs w:val="20"/>
              </w:rPr>
              <w:t xml:space="preserve">, and this can </w:t>
            </w:r>
            <w:proofErr w:type="gramStart"/>
            <w:r>
              <w:rPr>
                <w:color w:val="38761D"/>
                <w:sz w:val="20"/>
                <w:szCs w:val="20"/>
              </w:rPr>
              <w:t>be  obtained</w:t>
            </w:r>
            <w:proofErr w:type="gramEnd"/>
            <w:r>
              <w:rPr>
                <w:color w:val="38761D"/>
                <w:sz w:val="20"/>
                <w:szCs w:val="20"/>
              </w:rPr>
              <w:t xml:space="preserve"> immediately and/or several months after the training, depending on the situation:</w:t>
            </w:r>
          </w:p>
          <w:p w14:paraId="0FD80E53" w14:textId="77777777" w:rsidR="003A0195" w:rsidRDefault="003A0195" w:rsidP="00E9582A">
            <w:pPr>
              <w:spacing w:before="280" w:after="280"/>
              <w:ind w:hanging="2"/>
              <w:rPr>
                <w:color w:val="38761D"/>
                <w:sz w:val="20"/>
                <w:szCs w:val="20"/>
              </w:rPr>
            </w:pPr>
            <w:r>
              <w:rPr>
                <w:color w:val="38761D"/>
                <w:sz w:val="20"/>
                <w:szCs w:val="20"/>
              </w:rPr>
              <w:t>Did the trainees put their learning into effect when back on the job?</w:t>
            </w:r>
          </w:p>
          <w:p w14:paraId="6EAA2D6A" w14:textId="77777777" w:rsidR="003A0195" w:rsidRDefault="003A0195" w:rsidP="00E9582A">
            <w:pPr>
              <w:spacing w:before="280" w:after="280"/>
              <w:ind w:hanging="2"/>
              <w:rPr>
                <w:color w:val="38761D"/>
                <w:sz w:val="20"/>
                <w:szCs w:val="20"/>
              </w:rPr>
            </w:pPr>
            <w:r>
              <w:rPr>
                <w:color w:val="38761D"/>
                <w:sz w:val="20"/>
                <w:szCs w:val="20"/>
              </w:rPr>
              <w:t>Were the relevant skills, knowledge and attitudes used?</w:t>
            </w:r>
          </w:p>
          <w:p w14:paraId="119D1C3E" w14:textId="77777777" w:rsidR="003A0195" w:rsidRDefault="003A0195" w:rsidP="00E9582A">
            <w:pPr>
              <w:spacing w:before="280" w:after="280"/>
              <w:ind w:hanging="2"/>
              <w:rPr>
                <w:color w:val="38761D"/>
                <w:sz w:val="20"/>
                <w:szCs w:val="20"/>
              </w:rPr>
            </w:pPr>
            <w:r>
              <w:rPr>
                <w:color w:val="38761D"/>
                <w:sz w:val="20"/>
                <w:szCs w:val="20"/>
              </w:rPr>
              <w:t>Was there noticeable and measurable change in the activity and performance of the participants when back in their roles?</w:t>
            </w:r>
          </w:p>
          <w:p w14:paraId="53513D2E" w14:textId="77777777" w:rsidR="003A0195" w:rsidRDefault="003A0195" w:rsidP="00E9582A">
            <w:pPr>
              <w:spacing w:before="280" w:after="280"/>
              <w:ind w:hanging="2"/>
              <w:rPr>
                <w:color w:val="38761D"/>
                <w:sz w:val="20"/>
                <w:szCs w:val="20"/>
              </w:rPr>
            </w:pPr>
            <w:r>
              <w:rPr>
                <w:color w:val="38761D"/>
                <w:sz w:val="20"/>
                <w:szCs w:val="20"/>
              </w:rPr>
              <w:t>Was the change in behaviour and new level of knowledge sustained?</w:t>
            </w:r>
          </w:p>
          <w:p w14:paraId="6EA4F290" w14:textId="77777777" w:rsidR="003A0195" w:rsidRDefault="003A0195" w:rsidP="00E9582A">
            <w:pPr>
              <w:spacing w:before="280" w:after="280"/>
              <w:ind w:hanging="2"/>
              <w:rPr>
                <w:color w:val="38761D"/>
                <w:sz w:val="20"/>
                <w:szCs w:val="20"/>
              </w:rPr>
            </w:pPr>
            <w:r>
              <w:rPr>
                <w:color w:val="38761D"/>
                <w:sz w:val="20"/>
                <w:szCs w:val="20"/>
              </w:rPr>
              <w:t>Would the trainee be able to transfer their learning to another person?</w:t>
            </w:r>
          </w:p>
          <w:p w14:paraId="48FA6AE2" w14:textId="77777777" w:rsidR="003A0195" w:rsidRDefault="003A0195" w:rsidP="00E9582A">
            <w:pPr>
              <w:spacing w:before="280" w:after="280"/>
              <w:ind w:hanging="2"/>
              <w:rPr>
                <w:color w:val="38761D"/>
                <w:sz w:val="20"/>
                <w:szCs w:val="20"/>
              </w:rPr>
            </w:pPr>
            <w:r>
              <w:rPr>
                <w:color w:val="38761D"/>
                <w:sz w:val="20"/>
                <w:szCs w:val="20"/>
              </w:rPr>
              <w:t>Is the trainee aware of their change in behaviour, knowledge, and skill level?</w:t>
            </w:r>
          </w:p>
          <w:p w14:paraId="49E34195" w14:textId="77777777" w:rsidR="003A0195" w:rsidRDefault="003A0195" w:rsidP="00E9582A">
            <w:pPr>
              <w:ind w:hanging="2"/>
              <w:rPr>
                <w:color w:val="38761D"/>
                <w:sz w:val="20"/>
                <w:szCs w:val="20"/>
              </w:rPr>
            </w:pPr>
            <w:r>
              <w:rPr>
                <w:color w:val="38761D"/>
                <w:sz w:val="20"/>
                <w:szCs w:val="20"/>
              </w:rPr>
              <w:br/>
            </w:r>
          </w:p>
        </w:tc>
        <w:tc>
          <w:tcPr>
            <w:tcW w:w="282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2E57D708" w14:textId="77777777" w:rsidR="003A0195" w:rsidRDefault="003A0195" w:rsidP="00E9582A">
            <w:pPr>
              <w:spacing w:after="280"/>
              <w:ind w:hanging="2"/>
              <w:rPr>
                <w:color w:val="38761D"/>
                <w:sz w:val="20"/>
                <w:szCs w:val="20"/>
              </w:rPr>
            </w:pPr>
            <w:r>
              <w:rPr>
                <w:color w:val="38761D"/>
                <w:sz w:val="20"/>
                <w:szCs w:val="20"/>
              </w:rPr>
              <w:t>Observation and interview over time are required to assess change, relevance of change, and sustainability of change.</w:t>
            </w:r>
          </w:p>
          <w:p w14:paraId="7AE128F1" w14:textId="77777777" w:rsidR="003A0195" w:rsidRDefault="003A0195" w:rsidP="00E9582A">
            <w:pPr>
              <w:spacing w:before="280" w:after="280"/>
              <w:ind w:hanging="2"/>
              <w:rPr>
                <w:color w:val="38761D"/>
                <w:sz w:val="20"/>
                <w:szCs w:val="20"/>
              </w:rPr>
            </w:pPr>
            <w:r>
              <w:rPr>
                <w:color w:val="38761D"/>
                <w:sz w:val="20"/>
                <w:szCs w:val="20"/>
              </w:rPr>
              <w:t>Assessments need to be subtle and ongoing, and then transferred to a suitable analysis tool.</w:t>
            </w:r>
          </w:p>
          <w:p w14:paraId="2AEC99FE" w14:textId="77777777" w:rsidR="003A0195" w:rsidRDefault="003A0195" w:rsidP="00E9582A">
            <w:pPr>
              <w:spacing w:before="280" w:after="280"/>
              <w:ind w:hanging="2"/>
              <w:rPr>
                <w:color w:val="38761D"/>
                <w:sz w:val="20"/>
                <w:szCs w:val="20"/>
              </w:rPr>
            </w:pPr>
            <w:r>
              <w:rPr>
                <w:color w:val="38761D"/>
                <w:sz w:val="20"/>
                <w:szCs w:val="20"/>
              </w:rPr>
              <w:t>Assessments need to be designed to reduce subjective judgment of the observer or interviewer, which is a variable factor that can affect reliability and consistency of measurements.</w:t>
            </w:r>
          </w:p>
          <w:p w14:paraId="51DC633D" w14:textId="77777777" w:rsidR="003A0195" w:rsidRDefault="003A0195" w:rsidP="00E9582A">
            <w:pPr>
              <w:spacing w:before="280" w:after="280"/>
              <w:ind w:hanging="2"/>
              <w:rPr>
                <w:color w:val="38761D"/>
                <w:sz w:val="20"/>
                <w:szCs w:val="20"/>
              </w:rPr>
            </w:pPr>
            <w:sdt>
              <w:sdtPr>
                <w:tag w:val="goog_rdk_89"/>
                <w:id w:val="-295534016"/>
              </w:sdtPr>
              <w:sdtContent>
                <w:commentRangeStart w:id="0"/>
              </w:sdtContent>
            </w:sdt>
            <w:r>
              <w:rPr>
                <w:color w:val="38761D"/>
                <w:sz w:val="20"/>
                <w:szCs w:val="20"/>
              </w:rPr>
              <w:t xml:space="preserve">360-degree feedback </w:t>
            </w:r>
            <w:commentRangeEnd w:id="0"/>
            <w:r>
              <w:commentReference w:id="0"/>
            </w:r>
            <w:r>
              <w:rPr>
                <w:color w:val="38761D"/>
                <w:sz w:val="20"/>
                <w:szCs w:val="20"/>
              </w:rPr>
              <w:t xml:space="preserve">is a useful method and need not be used before training, because respondents can make a judgment as to change after training, and this can be </w:t>
            </w:r>
            <w:proofErr w:type="spellStart"/>
            <w:r>
              <w:rPr>
                <w:color w:val="38761D"/>
                <w:sz w:val="20"/>
                <w:szCs w:val="20"/>
              </w:rPr>
              <w:t>analyzed</w:t>
            </w:r>
            <w:proofErr w:type="spellEnd"/>
            <w:r>
              <w:rPr>
                <w:color w:val="38761D"/>
                <w:sz w:val="20"/>
                <w:szCs w:val="20"/>
              </w:rPr>
              <w:t xml:space="preserve"> for groups of respondents and trainees.</w:t>
            </w:r>
          </w:p>
          <w:p w14:paraId="0ED7FD52" w14:textId="77777777" w:rsidR="003A0195" w:rsidRDefault="003A0195" w:rsidP="00E9582A">
            <w:pPr>
              <w:spacing w:before="280" w:after="280"/>
              <w:ind w:hanging="2"/>
              <w:rPr>
                <w:color w:val="38761D"/>
                <w:sz w:val="20"/>
                <w:szCs w:val="20"/>
              </w:rPr>
            </w:pPr>
            <w:r>
              <w:rPr>
                <w:color w:val="38761D"/>
                <w:sz w:val="20"/>
                <w:szCs w:val="20"/>
              </w:rPr>
              <w:t>Assessments can be designed around relevant performance scenarios, and specific key performance indicators or criteria.</w:t>
            </w:r>
          </w:p>
          <w:p w14:paraId="0F1DE452" w14:textId="77777777" w:rsidR="003A0195" w:rsidRDefault="003A0195" w:rsidP="00E9582A">
            <w:pPr>
              <w:spacing w:before="280" w:after="280"/>
              <w:ind w:hanging="2"/>
              <w:rPr>
                <w:color w:val="38761D"/>
                <w:sz w:val="20"/>
                <w:szCs w:val="20"/>
              </w:rPr>
            </w:pPr>
            <w:r>
              <w:rPr>
                <w:color w:val="38761D"/>
                <w:sz w:val="20"/>
                <w:szCs w:val="20"/>
              </w:rPr>
              <w:t>Assessments tend to be more successful when integrated within existing management and coaching protocols.</w:t>
            </w:r>
          </w:p>
          <w:p w14:paraId="08CCD3BE" w14:textId="77777777" w:rsidR="003A0195" w:rsidRDefault="003A0195" w:rsidP="00E9582A">
            <w:pPr>
              <w:spacing w:before="280"/>
              <w:ind w:hanging="2"/>
              <w:rPr>
                <w:color w:val="38761D"/>
                <w:sz w:val="20"/>
                <w:szCs w:val="20"/>
              </w:rPr>
            </w:pPr>
            <w:r>
              <w:rPr>
                <w:color w:val="38761D"/>
                <w:sz w:val="20"/>
                <w:szCs w:val="20"/>
              </w:rPr>
              <w:t>Self-assessment can be useful, using carefully designed criteria and measurements.</w:t>
            </w:r>
          </w:p>
        </w:tc>
        <w:tc>
          <w:tcPr>
            <w:tcW w:w="274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34E3CB1C" w14:textId="77777777" w:rsidR="003A0195" w:rsidRDefault="003A0195" w:rsidP="00E9582A">
            <w:pPr>
              <w:spacing w:after="280"/>
              <w:ind w:hanging="2"/>
              <w:rPr>
                <w:color w:val="38761D"/>
                <w:sz w:val="20"/>
                <w:szCs w:val="20"/>
              </w:rPr>
            </w:pPr>
            <w:r>
              <w:rPr>
                <w:color w:val="38761D"/>
                <w:sz w:val="20"/>
                <w:szCs w:val="20"/>
              </w:rPr>
              <w:t>Measurement of behaviour change is less easy to quantify and interpret than reaction and learning evaluation.</w:t>
            </w:r>
          </w:p>
          <w:p w14:paraId="21F3B5A9" w14:textId="77777777" w:rsidR="003A0195" w:rsidRDefault="003A0195" w:rsidP="00E9582A">
            <w:pPr>
              <w:spacing w:before="280" w:after="280"/>
              <w:ind w:hanging="2"/>
              <w:rPr>
                <w:color w:val="38761D"/>
                <w:sz w:val="20"/>
                <w:szCs w:val="20"/>
              </w:rPr>
            </w:pPr>
            <w:r>
              <w:rPr>
                <w:color w:val="38761D"/>
                <w:sz w:val="20"/>
                <w:szCs w:val="20"/>
              </w:rPr>
              <w:t>Cooperation and the skill of observers, typically line-managers, are important factors, and difficult to control.</w:t>
            </w:r>
          </w:p>
          <w:p w14:paraId="1D8CC89F" w14:textId="77777777" w:rsidR="003A0195" w:rsidRDefault="003A0195" w:rsidP="00E9582A">
            <w:pPr>
              <w:spacing w:before="280" w:after="280"/>
              <w:ind w:hanging="2"/>
              <w:rPr>
                <w:color w:val="38761D"/>
                <w:sz w:val="20"/>
                <w:szCs w:val="20"/>
              </w:rPr>
            </w:pPr>
            <w:r>
              <w:rPr>
                <w:color w:val="38761D"/>
                <w:sz w:val="20"/>
                <w:szCs w:val="20"/>
              </w:rPr>
              <w:t>Management and analysis of ongoing subtle assessments are difficult, and virtually impossible without a well-designed system from the beginning.</w:t>
            </w:r>
          </w:p>
          <w:p w14:paraId="3CF94664" w14:textId="77777777" w:rsidR="003A0195" w:rsidRDefault="003A0195" w:rsidP="00E9582A">
            <w:pPr>
              <w:spacing w:before="280" w:after="280"/>
              <w:ind w:hanging="2"/>
              <w:rPr>
                <w:color w:val="38761D"/>
                <w:sz w:val="20"/>
                <w:szCs w:val="20"/>
              </w:rPr>
            </w:pPr>
            <w:r>
              <w:rPr>
                <w:color w:val="38761D"/>
                <w:sz w:val="20"/>
                <w:szCs w:val="20"/>
              </w:rPr>
              <w:t>Evaluation of implementation and application is an extremely important assessment. There is little point in a good reaction and good increase in capability if nothing changes back in the job, therefore evaluation in this area is vital, albeit challenging.</w:t>
            </w:r>
          </w:p>
          <w:p w14:paraId="420E40DF" w14:textId="77777777" w:rsidR="003A0195" w:rsidRDefault="003A0195" w:rsidP="00E9582A">
            <w:pPr>
              <w:spacing w:before="280"/>
              <w:ind w:hanging="2"/>
              <w:rPr>
                <w:color w:val="38761D"/>
                <w:sz w:val="20"/>
                <w:szCs w:val="20"/>
              </w:rPr>
            </w:pPr>
            <w:r>
              <w:rPr>
                <w:color w:val="38761D"/>
                <w:sz w:val="20"/>
                <w:szCs w:val="20"/>
              </w:rPr>
              <w:t>Behaviour change evaluation is possible given good support and involvement from line managers or trainees, so it is helpful to involve them from the start, and to identify benefits for them, which links to the level 4 evaluation.</w:t>
            </w:r>
          </w:p>
        </w:tc>
      </w:tr>
      <w:tr w:rsidR="003A0195" w14:paraId="68095F84" w14:textId="77777777" w:rsidTr="00E9582A">
        <w:tc>
          <w:tcPr>
            <w:tcW w:w="9555" w:type="dxa"/>
            <w:gridSpan w:val="4"/>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tcPr>
          <w:p w14:paraId="7A569E71" w14:textId="77777777" w:rsidR="003A0195" w:rsidRDefault="003A0195" w:rsidP="00E9582A">
            <w:pPr>
              <w:ind w:hanging="2"/>
              <w:rPr>
                <w:color w:val="38761D"/>
                <w:sz w:val="20"/>
                <w:szCs w:val="20"/>
              </w:rPr>
            </w:pPr>
            <w:r>
              <w:rPr>
                <w:i/>
                <w:color w:val="38761D"/>
                <w:sz w:val="20"/>
                <w:szCs w:val="20"/>
              </w:rPr>
              <w:t xml:space="preserve">Source: </w:t>
            </w:r>
            <w:proofErr w:type="spellStart"/>
            <w:r>
              <w:rPr>
                <w:i/>
                <w:color w:val="38761D"/>
                <w:sz w:val="20"/>
                <w:szCs w:val="20"/>
              </w:rPr>
              <w:t>Businessballs</w:t>
            </w:r>
            <w:proofErr w:type="spellEnd"/>
            <w:r>
              <w:rPr>
                <w:i/>
                <w:color w:val="38761D"/>
                <w:sz w:val="20"/>
                <w:szCs w:val="20"/>
              </w:rPr>
              <w:t xml:space="preserve">, Donald L Kirkpatrick's training evaluation model - the four levels of learning evaluation, </w:t>
            </w:r>
            <w:hyperlink r:id="rId7">
              <w:r>
                <w:rPr>
                  <w:i/>
                  <w:color w:val="38761D"/>
                  <w:sz w:val="20"/>
                  <w:szCs w:val="20"/>
                  <w:u w:val="single"/>
                </w:rPr>
                <w:t>https://www.businessballs.com/facilitation-workshops-and-training/kirkpatrick-evaluation-method/</w:t>
              </w:r>
            </w:hyperlink>
          </w:p>
        </w:tc>
      </w:tr>
    </w:tbl>
    <w:p w14:paraId="4AA23E91" w14:textId="77777777" w:rsidR="009E0CCD" w:rsidRDefault="009E0CCD">
      <w:bookmarkStart w:id="1" w:name="_GoBack"/>
      <w:bookmarkEnd w:id="1"/>
    </w:p>
    <w:sectPr w:rsidR="009E0CCD">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orina" w:date="2019-11-19T18:00:00Z" w:initials="">
    <w:p w14:paraId="5EE100C1" w14:textId="77777777" w:rsidR="003A0195" w:rsidRDefault="003A0195" w:rsidP="003A019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Hyperlink to: https://www.youtube.com/watch?v=eT4tohLWeUw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E100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100C1" w16cid:durableId="21A102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95"/>
    <w:rsid w:val="003A0195"/>
    <w:rsid w:val="009E0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FA8C"/>
  <w15:chartTrackingRefBased/>
  <w15:docId w15:val="{34DEEE25-1963-4EB9-92C8-B61487C6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A0195"/>
    <w:pPr>
      <w:spacing w:after="0" w:line="240" w:lineRule="auto"/>
    </w:pPr>
    <w:rPr>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019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01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sinessballs.com/facilitation-workshops-and-training/kirkpatrick-evaluation-method/"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Marchitelli</dc:creator>
  <cp:keywords/>
  <dc:description/>
  <cp:lastModifiedBy>Rosa Marchitelli</cp:lastModifiedBy>
  <cp:revision>1</cp:revision>
  <dcterms:created xsi:type="dcterms:W3CDTF">2020-02-28T15:10:00Z</dcterms:created>
  <dcterms:modified xsi:type="dcterms:W3CDTF">2020-02-28T15:11:00Z</dcterms:modified>
</cp:coreProperties>
</file>