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1185"/>
        <w:gridCol w:w="2475"/>
        <w:gridCol w:w="3690"/>
        <w:gridCol w:w="2370"/>
      </w:tblGrid>
      <w:tr w:rsidR="0029099E" w14:paraId="0989D07D" w14:textId="77777777" w:rsidTr="00E9582A">
        <w:tc>
          <w:tcPr>
            <w:tcW w:w="1185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7A021" w14:textId="77777777" w:rsidR="0029099E" w:rsidRDefault="0029099E" w:rsidP="00E9582A">
            <w:pPr>
              <w:ind w:hanging="2"/>
              <w:rPr>
                <w:color w:val="38761D"/>
                <w:sz w:val="22"/>
                <w:szCs w:val="22"/>
              </w:rPr>
            </w:pPr>
            <w:r>
              <w:rPr>
                <w:b/>
                <w:color w:val="38761D"/>
                <w:sz w:val="20"/>
                <w:szCs w:val="20"/>
              </w:rPr>
              <w:t>Evaluation level and type</w:t>
            </w:r>
          </w:p>
        </w:tc>
        <w:tc>
          <w:tcPr>
            <w:tcW w:w="2475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6FD83" w14:textId="77777777" w:rsidR="0029099E" w:rsidRDefault="0029099E" w:rsidP="00E9582A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Evaluation description and characteristics</w:t>
            </w:r>
          </w:p>
        </w:tc>
        <w:tc>
          <w:tcPr>
            <w:tcW w:w="369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8573D" w14:textId="77777777" w:rsidR="0029099E" w:rsidRDefault="0029099E" w:rsidP="00E9582A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Examples of evaluation tools and methods</w:t>
            </w:r>
          </w:p>
        </w:tc>
        <w:tc>
          <w:tcPr>
            <w:tcW w:w="237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7B865" w14:textId="77777777" w:rsidR="0029099E" w:rsidRDefault="0029099E" w:rsidP="00E9582A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Relevance and practicability</w:t>
            </w:r>
          </w:p>
        </w:tc>
      </w:tr>
      <w:tr w:rsidR="0029099E" w14:paraId="4CE9770F" w14:textId="77777777" w:rsidTr="00E9582A">
        <w:tc>
          <w:tcPr>
            <w:tcW w:w="1185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FFE11" w14:textId="77777777" w:rsidR="0029099E" w:rsidRDefault="0029099E" w:rsidP="00E9582A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4. Results </w:t>
            </w:r>
          </w:p>
        </w:tc>
        <w:tc>
          <w:tcPr>
            <w:tcW w:w="2475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27D90" w14:textId="77777777" w:rsidR="0029099E" w:rsidRDefault="0029099E" w:rsidP="00E9582A">
            <w:pPr>
              <w:spacing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Results evaluation</w:t>
            </w:r>
            <w:r>
              <w:rPr>
                <w:color w:val="38761D"/>
                <w:sz w:val="20"/>
                <w:szCs w:val="20"/>
              </w:rPr>
              <w:t> is the </w:t>
            </w:r>
            <w:r>
              <w:rPr>
                <w:b/>
                <w:color w:val="38761D"/>
                <w:sz w:val="20"/>
                <w:szCs w:val="20"/>
              </w:rPr>
              <w:t>effect on the business or environment</w:t>
            </w:r>
            <w:r>
              <w:rPr>
                <w:color w:val="38761D"/>
                <w:sz w:val="20"/>
                <w:szCs w:val="20"/>
              </w:rPr>
              <w:t> resulting from the improved performance of the trainee—it is the acid test.</w:t>
            </w:r>
          </w:p>
          <w:p w14:paraId="0DE7B74F" w14:textId="77777777" w:rsidR="0029099E" w:rsidRDefault="0029099E" w:rsidP="00E9582A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Measures would typically be business or organizational key performance indicators, such as: Volumes, values, percentages, timescales, return on investment, and other quantifiable aspects of organizational performance, for instance; numbers of complaints, staff turnover, attrition, failures, wastage, non-compliance, quality ratings, achievement of standards and accreditations, growth, retention, etc.</w:t>
            </w:r>
          </w:p>
        </w:tc>
        <w:tc>
          <w:tcPr>
            <w:tcW w:w="369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01BCF" w14:textId="77777777" w:rsidR="0029099E" w:rsidRDefault="0029099E" w:rsidP="00E9582A">
            <w:pPr>
              <w:spacing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It is possible that many of these measures are already in place via normal management systems and reporting.</w:t>
            </w:r>
          </w:p>
          <w:p w14:paraId="20E779F7" w14:textId="77777777" w:rsidR="0029099E" w:rsidRDefault="0029099E" w:rsidP="00E9582A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The challenge is to identify which and how to relate to the trainee's input and influence.</w:t>
            </w:r>
          </w:p>
          <w:p w14:paraId="6B3EC12F" w14:textId="77777777" w:rsidR="0029099E" w:rsidRDefault="0029099E" w:rsidP="00E9582A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Therefore, it is important to identify and agree on accountability and relevance with the trainee at the start of the training, so they understand what is to be measured.</w:t>
            </w:r>
          </w:p>
          <w:p w14:paraId="61861AB6" w14:textId="77777777" w:rsidR="0029099E" w:rsidRDefault="0029099E" w:rsidP="00E9582A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This process overlays normal good management practice—it simply needs linking to the training input.</w:t>
            </w:r>
          </w:p>
          <w:p w14:paraId="70BBB505" w14:textId="77777777" w:rsidR="0029099E" w:rsidRDefault="0029099E" w:rsidP="00E9582A">
            <w:pPr>
              <w:spacing w:before="280"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Failure to link to training input type and timing would greatly reduce the ease by which results can be attributed to the training.</w:t>
            </w:r>
          </w:p>
          <w:p w14:paraId="6C1C7926" w14:textId="77777777" w:rsidR="0029099E" w:rsidRDefault="0029099E" w:rsidP="00E9582A">
            <w:pPr>
              <w:spacing w:before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For senior people particularly, annual appraisals and ongoing agreement of key business objectives are integral to measuring business results derived from training.</w:t>
            </w:r>
          </w:p>
        </w:tc>
        <w:tc>
          <w:tcPr>
            <w:tcW w:w="2370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09C38" w14:textId="77777777" w:rsidR="0029099E" w:rsidRDefault="0029099E" w:rsidP="00E9582A">
            <w:pPr>
              <w:spacing w:after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 xml:space="preserve">Individually, results evaluation is not particularly difficult. Across an entire organization it becomes much more challenging, not least of all because of the reliance </w:t>
            </w:r>
            <w:proofErr w:type="gramStart"/>
            <w:r>
              <w:rPr>
                <w:color w:val="38761D"/>
                <w:sz w:val="20"/>
                <w:szCs w:val="20"/>
              </w:rPr>
              <w:t>on line</w:t>
            </w:r>
            <w:proofErr w:type="gramEnd"/>
            <w:r>
              <w:rPr>
                <w:color w:val="38761D"/>
                <w:sz w:val="20"/>
                <w:szCs w:val="20"/>
              </w:rPr>
              <w:t>-management, and the frequency and scale of changing structures, responsibilities and roles, which complicates the process of attributing clear accountability.</w:t>
            </w:r>
          </w:p>
          <w:p w14:paraId="6455DC18" w14:textId="77777777" w:rsidR="0029099E" w:rsidRDefault="0029099E" w:rsidP="00E9582A">
            <w:pPr>
              <w:spacing w:before="280"/>
              <w:ind w:hanging="2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Also, external factors greatly affect organizational and business performance, which cloud the true cause of good or poor results.</w:t>
            </w:r>
          </w:p>
        </w:tc>
      </w:tr>
      <w:tr w:rsidR="0029099E" w14:paraId="3781A066" w14:textId="77777777" w:rsidTr="00E9582A">
        <w:tc>
          <w:tcPr>
            <w:tcW w:w="9720" w:type="dxa"/>
            <w:gridSpan w:val="4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single" w:sz="6" w:space="0" w:color="19191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95B55" w14:textId="77777777" w:rsidR="0029099E" w:rsidRDefault="0029099E" w:rsidP="00E9582A">
            <w:pPr>
              <w:ind w:hanging="2"/>
              <w:rPr>
                <w:color w:val="38761D"/>
                <w:sz w:val="20"/>
                <w:szCs w:val="20"/>
              </w:rPr>
            </w:pPr>
            <w:r>
              <w:rPr>
                <w:i/>
                <w:color w:val="38761D"/>
                <w:sz w:val="20"/>
                <w:szCs w:val="20"/>
              </w:rPr>
              <w:t xml:space="preserve">Source: </w:t>
            </w:r>
            <w:proofErr w:type="spellStart"/>
            <w:r>
              <w:rPr>
                <w:i/>
                <w:color w:val="38761D"/>
                <w:sz w:val="20"/>
                <w:szCs w:val="20"/>
              </w:rPr>
              <w:t>Businessballs</w:t>
            </w:r>
            <w:proofErr w:type="spellEnd"/>
            <w:r>
              <w:rPr>
                <w:i/>
                <w:color w:val="38761D"/>
                <w:sz w:val="20"/>
                <w:szCs w:val="20"/>
              </w:rPr>
              <w:t xml:space="preserve">, Donald L Kirkpatrick's training evaluation model - the four levels of learning evaluation, </w:t>
            </w:r>
            <w:hyperlink r:id="rId4">
              <w:r>
                <w:rPr>
                  <w:i/>
                  <w:color w:val="38761D"/>
                  <w:sz w:val="20"/>
                  <w:szCs w:val="20"/>
                  <w:u w:val="single"/>
                </w:rPr>
                <w:t>https://www.businessballs.com/facilitation-workshops-and-training/kirkpatrick-evaluation-method/</w:t>
              </w:r>
            </w:hyperlink>
          </w:p>
        </w:tc>
      </w:tr>
    </w:tbl>
    <w:p w14:paraId="4AA23E91" w14:textId="77777777" w:rsidR="009E0CCD" w:rsidRDefault="009E0CCD">
      <w:bookmarkStart w:id="0" w:name="_GoBack"/>
      <w:bookmarkEnd w:id="0"/>
    </w:p>
    <w:sectPr w:rsidR="009E0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95"/>
    <w:rsid w:val="0029099E"/>
    <w:rsid w:val="003A0195"/>
    <w:rsid w:val="009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FA8C"/>
  <w15:chartTrackingRefBased/>
  <w15:docId w15:val="{34DEEE25-1963-4EB9-92C8-B61487C6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A0195"/>
    <w:pPr>
      <w:spacing w:after="0" w:line="240" w:lineRule="auto"/>
    </w:pPr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1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19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sinessballs.com/facilitation-workshops-and-training/kirkpatrick-evaluation-metho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Marchitelli</dc:creator>
  <cp:keywords/>
  <dc:description/>
  <cp:lastModifiedBy>Rosa Marchitelli</cp:lastModifiedBy>
  <cp:revision>2</cp:revision>
  <dcterms:created xsi:type="dcterms:W3CDTF">2020-02-28T15:16:00Z</dcterms:created>
  <dcterms:modified xsi:type="dcterms:W3CDTF">2020-02-28T15:16:00Z</dcterms:modified>
</cp:coreProperties>
</file>